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6D985C" w14:textId="55D84059" w:rsidR="004C6405" w:rsidRPr="00000AF1" w:rsidRDefault="004C6405" w:rsidP="004C6405">
      <w:pPr>
        <w:pStyle w:val="3GPPHeader"/>
        <w:spacing w:after="60"/>
        <w:rPr>
          <w:bCs/>
        </w:rPr>
      </w:pPr>
      <w:r w:rsidRPr="00000AF1">
        <w:rPr>
          <w:bCs/>
        </w:rPr>
        <w:t>3GPP TSG RAN WG1 NR Ad-Hoc</w:t>
      </w:r>
      <w:r w:rsidRPr="00000AF1">
        <w:rPr>
          <w:rFonts w:hint="eastAsia"/>
          <w:bCs/>
        </w:rPr>
        <w:t xml:space="preserve">#2                                       </w:t>
      </w:r>
      <w:r w:rsidRPr="00000AF1">
        <w:rPr>
          <w:bCs/>
        </w:rPr>
        <w:tab/>
      </w:r>
      <w:r w:rsidR="009D3D3D" w:rsidRPr="009D3D3D">
        <w:rPr>
          <w:bCs/>
        </w:rPr>
        <w:t>R1-1711506</w:t>
      </w:r>
    </w:p>
    <w:p w14:paraId="51C3CE46" w14:textId="52E9EBE2" w:rsidR="00E90E49" w:rsidRPr="007B78FE" w:rsidRDefault="004C6405" w:rsidP="004C6405">
      <w:pPr>
        <w:pStyle w:val="3GPPHeader"/>
        <w:rPr>
          <w:lang w:val="en-US"/>
        </w:rPr>
      </w:pPr>
      <w:r w:rsidRPr="00000AF1">
        <w:rPr>
          <w:rFonts w:hint="eastAsia"/>
          <w:bCs/>
        </w:rPr>
        <w:t>Qingdao</w:t>
      </w:r>
      <w:r w:rsidRPr="00000AF1">
        <w:rPr>
          <w:bCs/>
        </w:rPr>
        <w:t xml:space="preserve">, </w:t>
      </w:r>
      <w:r w:rsidRPr="00000AF1">
        <w:rPr>
          <w:rFonts w:hint="eastAsia"/>
          <w:bCs/>
        </w:rPr>
        <w:t>P.R. China</w:t>
      </w:r>
      <w:r>
        <w:rPr>
          <w:bCs/>
        </w:rPr>
        <w:t>,</w:t>
      </w:r>
      <w:r w:rsidRPr="00000AF1">
        <w:rPr>
          <w:bCs/>
        </w:rPr>
        <w:t xml:space="preserve"> </w:t>
      </w:r>
      <w:r w:rsidRPr="00000AF1">
        <w:rPr>
          <w:rFonts w:hint="eastAsia"/>
          <w:bCs/>
        </w:rPr>
        <w:t xml:space="preserve">27th </w:t>
      </w:r>
      <w:r w:rsidRPr="00000AF1">
        <w:rPr>
          <w:bCs/>
        </w:rPr>
        <w:t xml:space="preserve">– </w:t>
      </w:r>
      <w:r w:rsidRPr="00000AF1">
        <w:rPr>
          <w:rFonts w:hint="eastAsia"/>
          <w:bCs/>
        </w:rPr>
        <w:t>30th</w:t>
      </w:r>
      <w:r w:rsidRPr="00000AF1">
        <w:rPr>
          <w:bCs/>
        </w:rPr>
        <w:t xml:space="preserve"> </w:t>
      </w:r>
      <w:r w:rsidRPr="00000AF1">
        <w:rPr>
          <w:rFonts w:hint="eastAsia"/>
          <w:bCs/>
        </w:rPr>
        <w:t>June</w:t>
      </w:r>
      <w:r w:rsidRPr="00000AF1">
        <w:rPr>
          <w:bCs/>
        </w:rPr>
        <w:t xml:space="preserve"> 201</w:t>
      </w:r>
      <w:r w:rsidRPr="00000AF1">
        <w:rPr>
          <w:rFonts w:hint="eastAsia"/>
          <w:bCs/>
        </w:rPr>
        <w:t>7</w:t>
      </w:r>
    </w:p>
    <w:p w14:paraId="606D9DC9" w14:textId="7ADA76A7"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BD0AF6">
        <w:rPr>
          <w:sz w:val="22"/>
          <w:szCs w:val="22"/>
          <w:lang w:val="en-US"/>
        </w:rPr>
        <w:t>5</w:t>
      </w:r>
      <w:r w:rsidR="00BD0AF6" w:rsidRPr="0067626C">
        <w:rPr>
          <w:sz w:val="22"/>
          <w:szCs w:val="22"/>
          <w:lang w:val="en-US"/>
        </w:rPr>
        <w:t>.1.3.3.</w:t>
      </w:r>
      <w:r w:rsidR="00BD0AF6">
        <w:rPr>
          <w:sz w:val="22"/>
          <w:szCs w:val="22"/>
          <w:lang w:val="en-US"/>
        </w:rPr>
        <w:t>4.1</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1E07BAE3"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DE1BBA">
        <w:rPr>
          <w:sz w:val="22"/>
          <w:szCs w:val="22"/>
          <w:lang w:val="en-US"/>
        </w:rPr>
        <w:t>Code Block G</w:t>
      </w:r>
      <w:r w:rsidR="00BD0AF6">
        <w:rPr>
          <w:sz w:val="22"/>
          <w:szCs w:val="22"/>
          <w:lang w:val="en-US"/>
        </w:rPr>
        <w:t>roup Formation and CRC Attachment</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46F1C5CB" w14:textId="77777777" w:rsidR="003D77B0" w:rsidRDefault="003D77B0" w:rsidP="003D77B0">
      <w:pPr>
        <w:pStyle w:val="BodyText"/>
        <w:rPr>
          <w:rFonts w:cs="Arial"/>
        </w:rPr>
      </w:pPr>
      <w:r>
        <w:rPr>
          <w:rFonts w:cs="Arial"/>
        </w:rPr>
        <w:t>In RAN1#89</w:t>
      </w:r>
      <w:r w:rsidRPr="003F5094">
        <w:rPr>
          <w:rFonts w:cs="Arial"/>
        </w:rPr>
        <w:t>, the followin</w:t>
      </w:r>
      <w:r>
        <w:rPr>
          <w:rFonts w:cs="Arial"/>
        </w:rPr>
        <w:t xml:space="preserve">g agreements on code-block group (CBG) formation were reached </w:t>
      </w:r>
      <w:r>
        <w:rPr>
          <w:rFonts w:cs="Arial"/>
        </w:rPr>
        <w:fldChar w:fldCharType="begin"/>
      </w:r>
      <w:r>
        <w:rPr>
          <w:rFonts w:cs="Arial"/>
        </w:rPr>
        <w:instrText xml:space="preserve"> REF _Ref484605489 \r \h </w:instrText>
      </w:r>
      <w:r>
        <w:rPr>
          <w:rFonts w:cs="Arial"/>
        </w:rPr>
      </w:r>
      <w:r>
        <w:rPr>
          <w:rFonts w:cs="Arial"/>
        </w:rPr>
        <w:fldChar w:fldCharType="separate"/>
      </w:r>
      <w:r>
        <w:rPr>
          <w:rFonts w:cs="Arial"/>
        </w:rPr>
        <w:t>[2]</w:t>
      </w:r>
      <w:r>
        <w:rPr>
          <w:rFonts w:cs="Arial"/>
        </w:rPr>
        <w:fldChar w:fldCharType="end"/>
      </w:r>
      <w:r w:rsidRPr="003F5094">
        <w:rPr>
          <w:rFonts w:cs="Arial"/>
        </w:rPr>
        <w:t>:</w:t>
      </w:r>
    </w:p>
    <w:p w14:paraId="443DCC18" w14:textId="77777777" w:rsidR="003D77B0" w:rsidRPr="004630BF" w:rsidRDefault="003D77B0" w:rsidP="003D77B0">
      <w:pPr>
        <w:overflowPunct/>
        <w:autoSpaceDE/>
        <w:autoSpaceDN/>
        <w:adjustRightInd/>
        <w:spacing w:after="0"/>
        <w:ind w:left="567"/>
        <w:jc w:val="left"/>
        <w:textAlignment w:val="auto"/>
        <w:rPr>
          <w:rFonts w:eastAsia="MS Mincho" w:cs="Arial"/>
          <w:b/>
          <w:u w:val="single"/>
          <w:lang w:val="en-US" w:eastAsia="ja-JP"/>
        </w:rPr>
      </w:pPr>
      <w:r w:rsidRPr="004630BF">
        <w:rPr>
          <w:rFonts w:eastAsia="MS Mincho" w:cs="Arial"/>
          <w:b/>
          <w:highlight w:val="green"/>
          <w:u w:val="single"/>
          <w:lang w:val="en-US" w:eastAsia="ja-JP"/>
        </w:rPr>
        <w:t>Agreements:</w:t>
      </w:r>
    </w:p>
    <w:p w14:paraId="11CB9C46" w14:textId="77777777" w:rsidR="003D77B0" w:rsidRPr="004630BF" w:rsidRDefault="003D77B0" w:rsidP="003D77B0">
      <w:pPr>
        <w:numPr>
          <w:ilvl w:val="0"/>
          <w:numId w:val="32"/>
        </w:numPr>
        <w:tabs>
          <w:tab w:val="clear" w:pos="360"/>
          <w:tab w:val="num" w:pos="927"/>
        </w:tabs>
        <w:overflowPunct/>
        <w:autoSpaceDE/>
        <w:autoSpaceDN/>
        <w:adjustRightInd/>
        <w:spacing w:after="0"/>
        <w:ind w:left="927"/>
        <w:jc w:val="left"/>
        <w:textAlignment w:val="auto"/>
        <w:rPr>
          <w:rFonts w:eastAsia="MS Mincho" w:cs="Arial"/>
          <w:lang w:val="en-US" w:eastAsia="ja-JP"/>
        </w:rPr>
      </w:pPr>
      <w:r w:rsidRPr="004630BF">
        <w:rPr>
          <w:rFonts w:eastAsia="MS Mincho" w:cs="Arial"/>
          <w:lang w:val="en-US" w:eastAsia="ja-JP"/>
        </w:rPr>
        <w:t>For grouping CB(s) into CBG(s), following is adopted.</w:t>
      </w:r>
    </w:p>
    <w:p w14:paraId="4B36DDF4" w14:textId="77777777" w:rsidR="003D77B0" w:rsidRPr="004630BF" w:rsidRDefault="003D77B0" w:rsidP="003D77B0">
      <w:pPr>
        <w:numPr>
          <w:ilvl w:val="1"/>
          <w:numId w:val="32"/>
        </w:numPr>
        <w:tabs>
          <w:tab w:val="clear" w:pos="1080"/>
          <w:tab w:val="num" w:pos="1647"/>
        </w:tabs>
        <w:overflowPunct/>
        <w:autoSpaceDE/>
        <w:autoSpaceDN/>
        <w:adjustRightInd/>
        <w:spacing w:after="0"/>
        <w:ind w:left="1647"/>
        <w:jc w:val="left"/>
        <w:textAlignment w:val="auto"/>
        <w:rPr>
          <w:rFonts w:eastAsia="MS Mincho" w:cs="Arial"/>
          <w:lang w:val="en-US" w:eastAsia="ja-JP"/>
        </w:rPr>
      </w:pPr>
      <w:r w:rsidRPr="004630BF">
        <w:rPr>
          <w:rFonts w:eastAsia="MS Mincho" w:cs="Arial"/>
          <w:lang w:val="en-US" w:eastAsia="ja-JP"/>
        </w:rPr>
        <w:t>With indicated number of CBGs, the number of CBs in a CBG changes according to TBS.</w:t>
      </w:r>
    </w:p>
    <w:p w14:paraId="12EDC025" w14:textId="77777777" w:rsidR="003D77B0" w:rsidRPr="004630BF" w:rsidRDefault="003D77B0" w:rsidP="003D77B0">
      <w:pPr>
        <w:numPr>
          <w:ilvl w:val="2"/>
          <w:numId w:val="32"/>
        </w:numPr>
        <w:tabs>
          <w:tab w:val="clear" w:pos="1800"/>
          <w:tab w:val="num" w:pos="2367"/>
        </w:tabs>
        <w:overflowPunct/>
        <w:autoSpaceDE/>
        <w:autoSpaceDN/>
        <w:adjustRightInd/>
        <w:spacing w:after="0"/>
        <w:ind w:left="2367"/>
        <w:jc w:val="left"/>
        <w:textAlignment w:val="auto"/>
        <w:rPr>
          <w:rFonts w:eastAsia="MS Mincho" w:cs="Arial"/>
          <w:lang w:val="en-US" w:eastAsia="ja-JP"/>
        </w:rPr>
      </w:pPr>
      <w:r w:rsidRPr="004630BF">
        <w:rPr>
          <w:rFonts w:eastAsia="MS Mincho" w:cs="Arial"/>
          <w:lang w:val="en-US" w:eastAsia="ja-JP"/>
        </w:rPr>
        <w:t>FFS for the case of re-transmission or the case when the number of CBs is smaller than the indicated number of CBG</w:t>
      </w:r>
      <w:r w:rsidRPr="004630BF">
        <w:rPr>
          <w:rFonts w:eastAsia="Batang" w:cs="Arial"/>
          <w:lang w:eastAsia="en-US"/>
        </w:rPr>
        <w:t xml:space="preserve"> </w:t>
      </w:r>
    </w:p>
    <w:p w14:paraId="45F11180" w14:textId="77777777" w:rsidR="003D77B0" w:rsidRPr="004630BF" w:rsidRDefault="003D77B0" w:rsidP="003D77B0">
      <w:pPr>
        <w:numPr>
          <w:ilvl w:val="2"/>
          <w:numId w:val="32"/>
        </w:numPr>
        <w:tabs>
          <w:tab w:val="clear" w:pos="1800"/>
          <w:tab w:val="num" w:pos="2367"/>
        </w:tabs>
        <w:overflowPunct/>
        <w:autoSpaceDE/>
        <w:autoSpaceDN/>
        <w:adjustRightInd/>
        <w:spacing w:after="0"/>
        <w:ind w:left="2367"/>
        <w:jc w:val="left"/>
        <w:textAlignment w:val="auto"/>
        <w:rPr>
          <w:rFonts w:eastAsia="MS Mincho" w:cs="Arial"/>
          <w:lang w:val="en-US" w:eastAsia="ja-JP"/>
        </w:rPr>
      </w:pPr>
      <w:r w:rsidRPr="004630BF">
        <w:rPr>
          <w:rFonts w:eastAsia="MS Mincho" w:cs="Arial"/>
          <w:lang w:val="en-US" w:eastAsia="ja-JP"/>
        </w:rPr>
        <w:t>FFS “indicated” is realized by RRC, MAC, L1 signalling</w:t>
      </w:r>
    </w:p>
    <w:p w14:paraId="4C392EF8" w14:textId="77777777" w:rsidR="003D77B0" w:rsidRPr="0037130E" w:rsidRDefault="003D77B0" w:rsidP="003D77B0">
      <w:pPr>
        <w:ind w:left="567"/>
        <w:rPr>
          <w:rFonts w:eastAsia="MS Mincho"/>
          <w:b/>
          <w:u w:val="single"/>
          <w:lang w:val="en-US" w:eastAsia="ja-JP"/>
        </w:rPr>
      </w:pPr>
      <w:r w:rsidRPr="0037130E">
        <w:rPr>
          <w:rFonts w:eastAsia="MS Mincho" w:hint="eastAsia"/>
          <w:b/>
          <w:highlight w:val="green"/>
          <w:u w:val="single"/>
          <w:lang w:val="en-US" w:eastAsia="ja-JP"/>
        </w:rPr>
        <w:t>Agreements</w:t>
      </w:r>
      <w:r w:rsidRPr="0037130E">
        <w:rPr>
          <w:rFonts w:eastAsia="MS Mincho"/>
          <w:b/>
          <w:highlight w:val="green"/>
          <w:u w:val="single"/>
          <w:lang w:val="en-US" w:eastAsia="ja-JP"/>
        </w:rPr>
        <w:t>:</w:t>
      </w:r>
    </w:p>
    <w:p w14:paraId="48CBC745" w14:textId="77777777" w:rsidR="003D77B0" w:rsidRPr="0037130E" w:rsidRDefault="003D77B0" w:rsidP="003D77B0">
      <w:pPr>
        <w:numPr>
          <w:ilvl w:val="0"/>
          <w:numId w:val="33"/>
        </w:numPr>
        <w:tabs>
          <w:tab w:val="clear" w:pos="360"/>
          <w:tab w:val="num" w:pos="927"/>
        </w:tabs>
        <w:overflowPunct/>
        <w:autoSpaceDE/>
        <w:autoSpaceDN/>
        <w:adjustRightInd/>
        <w:spacing w:after="0"/>
        <w:ind w:left="927"/>
        <w:jc w:val="left"/>
        <w:textAlignment w:val="auto"/>
        <w:rPr>
          <w:rFonts w:eastAsia="MS Mincho"/>
          <w:lang w:val="en-US" w:eastAsia="ja-JP"/>
        </w:rPr>
      </w:pPr>
      <w:r w:rsidRPr="0037130E">
        <w:rPr>
          <w:rFonts w:eastAsia="MS Mincho" w:hint="eastAsia"/>
          <w:lang w:val="en-US" w:eastAsia="ja-JP"/>
        </w:rPr>
        <w:t>At least following is supported.</w:t>
      </w:r>
    </w:p>
    <w:p w14:paraId="4CA8807A" w14:textId="77777777" w:rsidR="003D77B0" w:rsidRPr="0037130E" w:rsidRDefault="003D77B0" w:rsidP="003D77B0">
      <w:pPr>
        <w:numPr>
          <w:ilvl w:val="1"/>
          <w:numId w:val="33"/>
        </w:numPr>
        <w:tabs>
          <w:tab w:val="clear" w:pos="1080"/>
          <w:tab w:val="num" w:pos="1647"/>
        </w:tabs>
        <w:overflowPunct/>
        <w:autoSpaceDE/>
        <w:autoSpaceDN/>
        <w:adjustRightInd/>
        <w:spacing w:after="0"/>
        <w:ind w:left="1647"/>
        <w:jc w:val="left"/>
        <w:textAlignment w:val="auto"/>
        <w:rPr>
          <w:rFonts w:eastAsia="MS Mincho"/>
          <w:lang w:val="en-US" w:eastAsia="ja-JP"/>
        </w:rPr>
      </w:pPr>
      <w:r w:rsidRPr="0037130E">
        <w:rPr>
          <w:rFonts w:eastAsia="MS Mincho"/>
          <w:lang w:val="en-US" w:eastAsia="ja-JP"/>
        </w:rPr>
        <w:t>For a given number of CBGs for a given TB, the number of CBs per CBG should be as uniform as possible.</w:t>
      </w:r>
    </w:p>
    <w:p w14:paraId="77559D10" w14:textId="77777777" w:rsidR="003D77B0" w:rsidRPr="0037130E" w:rsidRDefault="003D77B0" w:rsidP="003D77B0">
      <w:pPr>
        <w:numPr>
          <w:ilvl w:val="2"/>
          <w:numId w:val="33"/>
        </w:numPr>
        <w:tabs>
          <w:tab w:val="clear" w:pos="1800"/>
          <w:tab w:val="num" w:pos="2367"/>
        </w:tabs>
        <w:overflowPunct/>
        <w:autoSpaceDE/>
        <w:autoSpaceDN/>
        <w:adjustRightInd/>
        <w:spacing w:after="0"/>
        <w:ind w:left="2367"/>
        <w:jc w:val="left"/>
        <w:textAlignment w:val="auto"/>
        <w:rPr>
          <w:rFonts w:eastAsia="MS Mincho"/>
          <w:lang w:val="en-US" w:eastAsia="ja-JP"/>
        </w:rPr>
      </w:pPr>
      <w:r w:rsidRPr="0037130E">
        <w:rPr>
          <w:rFonts w:eastAsia="MS Mincho"/>
          <w:lang w:val="en-US" w:eastAsia="ja-JP"/>
        </w:rPr>
        <w:t>The difference of CB number per CBG between any two CBGs is either 0 or 1.</w:t>
      </w:r>
    </w:p>
    <w:p w14:paraId="2A77595D" w14:textId="77777777" w:rsidR="003D77B0" w:rsidRPr="0037130E" w:rsidRDefault="003D77B0" w:rsidP="003D77B0">
      <w:pPr>
        <w:numPr>
          <w:ilvl w:val="2"/>
          <w:numId w:val="33"/>
        </w:numPr>
        <w:tabs>
          <w:tab w:val="clear" w:pos="1800"/>
          <w:tab w:val="num" w:pos="2367"/>
        </w:tabs>
        <w:overflowPunct/>
        <w:autoSpaceDE/>
        <w:autoSpaceDN/>
        <w:adjustRightInd/>
        <w:spacing w:after="0"/>
        <w:ind w:left="2367"/>
        <w:jc w:val="left"/>
        <w:textAlignment w:val="auto"/>
        <w:rPr>
          <w:rFonts w:eastAsia="MS Mincho"/>
          <w:lang w:val="en-US" w:eastAsia="ja-JP"/>
        </w:rPr>
      </w:pPr>
      <w:r w:rsidRPr="0037130E">
        <w:rPr>
          <w:rFonts w:eastAsia="MS Mincho"/>
          <w:lang w:val="en-US" w:eastAsia="ja-JP"/>
        </w:rPr>
        <w:t>FFS on the detailed rule for the CB grouping.</w:t>
      </w:r>
    </w:p>
    <w:p w14:paraId="3FAC03A6" w14:textId="77777777" w:rsidR="003D77B0" w:rsidRPr="0037130E" w:rsidRDefault="003D77B0" w:rsidP="003D77B0">
      <w:pPr>
        <w:numPr>
          <w:ilvl w:val="0"/>
          <w:numId w:val="33"/>
        </w:numPr>
        <w:tabs>
          <w:tab w:val="clear" w:pos="360"/>
          <w:tab w:val="num" w:pos="927"/>
        </w:tabs>
        <w:overflowPunct/>
        <w:autoSpaceDE/>
        <w:autoSpaceDN/>
        <w:adjustRightInd/>
        <w:spacing w:after="0"/>
        <w:ind w:left="927"/>
        <w:jc w:val="left"/>
        <w:textAlignment w:val="auto"/>
        <w:rPr>
          <w:rFonts w:eastAsia="MS Mincho"/>
          <w:lang w:val="en-US" w:eastAsia="ja-JP"/>
        </w:rPr>
      </w:pPr>
      <w:r w:rsidRPr="0037130E">
        <w:rPr>
          <w:rFonts w:eastAsia="MS Mincho"/>
          <w:lang w:val="en-US" w:eastAsia="ja-JP"/>
        </w:rPr>
        <w:t>Study further benefit and realization of non-uniform CB distribution across CBGs.</w:t>
      </w:r>
    </w:p>
    <w:p w14:paraId="4514E05B" w14:textId="77777777" w:rsidR="003D77B0" w:rsidRDefault="003D77B0" w:rsidP="003D77B0">
      <w:pPr>
        <w:pStyle w:val="BodyText"/>
        <w:rPr>
          <w:rFonts w:cs="Arial"/>
        </w:rPr>
      </w:pPr>
    </w:p>
    <w:p w14:paraId="68D249E4" w14:textId="3B762AF4" w:rsidR="00986A3A" w:rsidRDefault="00986A3A" w:rsidP="00986A3A">
      <w:pPr>
        <w:pStyle w:val="BodyText"/>
        <w:rPr>
          <w:rFonts w:cs="Arial"/>
        </w:rPr>
      </w:pPr>
      <w:r>
        <w:rPr>
          <w:rFonts w:cs="Arial"/>
        </w:rPr>
        <w:t>In RAN1#88bis</w:t>
      </w:r>
      <w:r w:rsidRPr="003F5094">
        <w:rPr>
          <w:rFonts w:cs="Arial"/>
        </w:rPr>
        <w:t>, the followin</w:t>
      </w:r>
      <w:r>
        <w:rPr>
          <w:rFonts w:cs="Arial"/>
        </w:rPr>
        <w:t xml:space="preserve">g agreements on HARQ feedback on code-block group (CBG) level and CRC attachment were reached </w:t>
      </w:r>
      <w:r w:rsidR="00F65221">
        <w:rPr>
          <w:rFonts w:cs="Arial"/>
        </w:rPr>
        <w:fldChar w:fldCharType="begin"/>
      </w:r>
      <w:r w:rsidR="00F65221">
        <w:rPr>
          <w:rFonts w:cs="Arial"/>
        </w:rPr>
        <w:instrText xml:space="preserve"> REF _Ref484605479 \r \h </w:instrText>
      </w:r>
      <w:r w:rsidR="00F65221">
        <w:rPr>
          <w:rFonts w:cs="Arial"/>
        </w:rPr>
      </w:r>
      <w:r w:rsidR="00F65221">
        <w:rPr>
          <w:rFonts w:cs="Arial"/>
        </w:rPr>
        <w:fldChar w:fldCharType="separate"/>
      </w:r>
      <w:r w:rsidR="00F65221">
        <w:rPr>
          <w:rFonts w:cs="Arial"/>
        </w:rPr>
        <w:t>[1]</w:t>
      </w:r>
      <w:r w:rsidR="00F65221">
        <w:rPr>
          <w:rFonts w:cs="Arial"/>
        </w:rPr>
        <w:fldChar w:fldCharType="end"/>
      </w:r>
      <w:r w:rsidRPr="003F5094">
        <w:rPr>
          <w:rFonts w:cs="Arial"/>
        </w:rPr>
        <w:t>:</w:t>
      </w:r>
    </w:p>
    <w:p w14:paraId="66698CF6" w14:textId="77777777" w:rsidR="00986A3A" w:rsidRPr="00C547CC" w:rsidRDefault="00986A3A" w:rsidP="00986A3A">
      <w:pPr>
        <w:ind w:left="567"/>
        <w:rPr>
          <w:rFonts w:eastAsia="MS Mincho"/>
          <w:b/>
          <w:highlight w:val="green"/>
          <w:u w:val="single"/>
          <w:lang w:eastAsia="ja-JP"/>
        </w:rPr>
      </w:pPr>
      <w:r w:rsidRPr="00C547CC">
        <w:rPr>
          <w:rFonts w:eastAsia="MS Mincho"/>
          <w:b/>
          <w:highlight w:val="green"/>
          <w:u w:val="single"/>
          <w:lang w:eastAsia="ja-JP"/>
        </w:rPr>
        <w:t>Agreement</w:t>
      </w:r>
      <w:r>
        <w:rPr>
          <w:rFonts w:eastAsia="MS Mincho"/>
          <w:b/>
          <w:highlight w:val="green"/>
          <w:u w:val="single"/>
          <w:lang w:eastAsia="ja-JP"/>
        </w:rPr>
        <w:t>s</w:t>
      </w:r>
      <w:r w:rsidRPr="00C547CC">
        <w:rPr>
          <w:rFonts w:eastAsia="MS Mincho"/>
          <w:b/>
          <w:highlight w:val="green"/>
          <w:u w:val="single"/>
          <w:lang w:eastAsia="ja-JP"/>
        </w:rPr>
        <w:t>:</w:t>
      </w:r>
    </w:p>
    <w:p w14:paraId="7A51B119" w14:textId="77777777" w:rsidR="00986A3A" w:rsidRPr="00C547CC" w:rsidRDefault="00986A3A" w:rsidP="00986A3A">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sidRPr="001C454E">
        <w:rPr>
          <w:rFonts w:eastAsia="MS Mincho"/>
          <w:lang w:val="en-US" w:eastAsia="ja-JP"/>
        </w:rPr>
        <w:t>Number of bits for TB-level CRC is: L</w:t>
      </w:r>
      <w:r w:rsidRPr="001C454E">
        <w:rPr>
          <w:rFonts w:eastAsia="MS Mincho"/>
          <w:vertAlign w:val="subscript"/>
          <w:lang w:val="en-US" w:eastAsia="ja-JP"/>
        </w:rPr>
        <w:t xml:space="preserve">TB,CRC </w:t>
      </w:r>
      <w:r w:rsidRPr="001C454E">
        <w:rPr>
          <w:rFonts w:eastAsia="MS Mincho"/>
          <w:lang w:val="en-US" w:eastAsia="ja-JP"/>
        </w:rPr>
        <w:t>=24 bits</w:t>
      </w:r>
      <w:r>
        <w:rPr>
          <w:rFonts w:eastAsia="MS Mincho"/>
          <w:lang w:val="en-US" w:eastAsia="ja-JP"/>
        </w:rPr>
        <w:t>, at least for TBs larger than a threshold (e.g. around 512 bits)</w:t>
      </w:r>
    </w:p>
    <w:p w14:paraId="2B041654" w14:textId="77777777" w:rsidR="00986A3A" w:rsidRPr="00C547CC" w:rsidRDefault="00986A3A" w:rsidP="00986A3A">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Pr>
          <w:rFonts w:eastAsia="MS Mincho"/>
          <w:lang w:val="en-US" w:eastAsia="ja-JP"/>
        </w:rPr>
        <w:t xml:space="preserve">FFS the value of </w:t>
      </w:r>
      <w:r w:rsidRPr="001C454E">
        <w:rPr>
          <w:rFonts w:eastAsia="MS Mincho"/>
          <w:lang w:val="en-US" w:eastAsia="ja-JP"/>
        </w:rPr>
        <w:t>L</w:t>
      </w:r>
      <w:r w:rsidRPr="001C454E">
        <w:rPr>
          <w:rFonts w:eastAsia="MS Mincho"/>
          <w:vertAlign w:val="subscript"/>
          <w:lang w:val="en-US" w:eastAsia="ja-JP"/>
        </w:rPr>
        <w:t xml:space="preserve">TB,CRC </w:t>
      </w:r>
      <w:r>
        <w:rPr>
          <w:rFonts w:eastAsia="MS Mincho"/>
          <w:lang w:val="en-US" w:eastAsia="ja-JP"/>
        </w:rPr>
        <w:t>for TBs smaller than the threshold, and the value of the threshold (0 is not precluded)</w:t>
      </w:r>
    </w:p>
    <w:p w14:paraId="56D94CF0" w14:textId="77777777" w:rsidR="00986A3A" w:rsidRPr="001C454E" w:rsidRDefault="00986A3A" w:rsidP="00986A3A">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sidRPr="001C454E">
        <w:rPr>
          <w:rFonts w:eastAsia="MS Mincho"/>
          <w:lang w:val="en-US" w:eastAsia="ja-JP"/>
        </w:rPr>
        <w:t xml:space="preserve">If a TB is segmented into 2 or more CBs after </w:t>
      </w:r>
      <w:r>
        <w:rPr>
          <w:rFonts w:eastAsia="MS Mincho"/>
          <w:lang w:val="en-US" w:eastAsia="ja-JP"/>
        </w:rPr>
        <w:t>code block (CB) segmentation,</w:t>
      </w:r>
    </w:p>
    <w:p w14:paraId="69696468" w14:textId="77777777" w:rsidR="00986A3A" w:rsidRPr="001C454E" w:rsidRDefault="00986A3A" w:rsidP="00986A3A">
      <w:pPr>
        <w:numPr>
          <w:ilvl w:val="1"/>
          <w:numId w:val="27"/>
        </w:numPr>
        <w:tabs>
          <w:tab w:val="clear" w:pos="1440"/>
          <w:tab w:val="num" w:pos="2007"/>
        </w:tabs>
        <w:overflowPunct/>
        <w:autoSpaceDE/>
        <w:autoSpaceDN/>
        <w:adjustRightInd/>
        <w:spacing w:after="0"/>
        <w:ind w:left="2007"/>
        <w:jc w:val="left"/>
        <w:textAlignment w:val="auto"/>
        <w:rPr>
          <w:rFonts w:eastAsia="MS Mincho"/>
          <w:lang w:eastAsia="ja-JP"/>
        </w:rPr>
      </w:pPr>
      <w:r w:rsidRPr="001C454E">
        <w:rPr>
          <w:rFonts w:eastAsia="MS Mincho"/>
          <w:lang w:val="en-US" w:eastAsia="ja-JP"/>
        </w:rPr>
        <w:t>CB-level CRC is applied, i.e., CRC bits are attached to each code block individually (as in LTE)</w:t>
      </w:r>
    </w:p>
    <w:p w14:paraId="0B3DE617" w14:textId="77777777" w:rsidR="00986A3A" w:rsidRPr="004A1EE1" w:rsidRDefault="00986A3A" w:rsidP="00986A3A">
      <w:pPr>
        <w:numPr>
          <w:ilvl w:val="1"/>
          <w:numId w:val="27"/>
        </w:numPr>
        <w:tabs>
          <w:tab w:val="clear" w:pos="1440"/>
          <w:tab w:val="num" w:pos="2007"/>
        </w:tabs>
        <w:overflowPunct/>
        <w:autoSpaceDE/>
        <w:autoSpaceDN/>
        <w:adjustRightInd/>
        <w:spacing w:after="0"/>
        <w:ind w:left="2007"/>
        <w:jc w:val="left"/>
        <w:textAlignment w:val="auto"/>
        <w:rPr>
          <w:rFonts w:eastAsia="MS Mincho"/>
          <w:lang w:eastAsia="ja-JP"/>
        </w:rPr>
      </w:pPr>
      <w:r>
        <w:rPr>
          <w:rFonts w:eastAsia="MS Mincho"/>
          <w:lang w:val="en-US" w:eastAsia="ja-JP"/>
        </w:rPr>
        <w:t>Number bits</w:t>
      </w:r>
      <w:r w:rsidRPr="001C454E">
        <w:rPr>
          <w:rFonts w:eastAsia="MS Mincho"/>
          <w:lang w:val="en-US" w:eastAsia="ja-JP"/>
        </w:rPr>
        <w:t xml:space="preserve"> for CB-level CRC is: </w:t>
      </w:r>
      <w:r>
        <w:rPr>
          <w:rFonts w:eastAsia="MS Mincho"/>
          <w:lang w:val="en-US" w:eastAsia="ja-JP"/>
        </w:rPr>
        <w:t xml:space="preserve">0 &lt;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&lt;</w:t>
      </w:r>
      <w:r w:rsidRPr="001C454E">
        <w:rPr>
          <w:rFonts w:eastAsia="MS Mincho"/>
          <w:lang w:val="en-US" w:eastAsia="ja-JP"/>
        </w:rPr>
        <w:t>= 24 bits</w:t>
      </w:r>
    </w:p>
    <w:p w14:paraId="60B0C0F1" w14:textId="77777777" w:rsidR="00986A3A" w:rsidRPr="001C454E" w:rsidRDefault="00986A3A" w:rsidP="00986A3A">
      <w:pPr>
        <w:numPr>
          <w:ilvl w:val="2"/>
          <w:numId w:val="27"/>
        </w:numPr>
        <w:tabs>
          <w:tab w:val="clear" w:pos="2160"/>
          <w:tab w:val="num" w:pos="2727"/>
        </w:tabs>
        <w:overflowPunct/>
        <w:autoSpaceDE/>
        <w:autoSpaceDN/>
        <w:adjustRightInd/>
        <w:spacing w:after="0"/>
        <w:ind w:left="2727"/>
        <w:jc w:val="left"/>
        <w:textAlignment w:val="auto"/>
        <w:rPr>
          <w:rFonts w:eastAsia="MS Mincho"/>
          <w:lang w:eastAsia="ja-JP"/>
        </w:rPr>
      </w:pPr>
      <w:r>
        <w:rPr>
          <w:rFonts w:eastAsia="MS Mincho"/>
          <w:lang w:val="en-US" w:eastAsia="ja-JP"/>
        </w:rPr>
        <w:t xml:space="preserve">Exact value(s) </w:t>
      </w:r>
      <w:r w:rsidRPr="001C454E">
        <w:rPr>
          <w:rFonts w:eastAsia="MS Mincho"/>
          <w:lang w:val="en-US" w:eastAsia="ja-JP"/>
        </w:rPr>
        <w:t>L</w:t>
      </w:r>
      <w:r w:rsidRPr="001C454E">
        <w:rPr>
          <w:rFonts w:eastAsia="MS Mincho"/>
          <w:vertAlign w:val="subscript"/>
          <w:lang w:val="en-US" w:eastAsia="ja-JP"/>
        </w:rPr>
        <w:t>CB,CRC</w:t>
      </w:r>
      <w:r w:rsidRPr="001C454E">
        <w:rPr>
          <w:rFonts w:eastAsia="MS Mincho"/>
          <w:lang w:val="en-US" w:eastAsia="ja-JP"/>
        </w:rPr>
        <w:t xml:space="preserve"> </w:t>
      </w:r>
      <w:r>
        <w:rPr>
          <w:rFonts w:eastAsia="MS Mincho"/>
          <w:lang w:val="en-US" w:eastAsia="ja-JP"/>
        </w:rPr>
        <w:t>are to be agreed after base graph(s) are agreed, taking into account inherent LDPC PC capability</w:t>
      </w:r>
    </w:p>
    <w:p w14:paraId="77E6CD6A" w14:textId="77777777" w:rsidR="00986A3A" w:rsidRPr="004A1EE1" w:rsidRDefault="00986A3A" w:rsidP="00986A3A">
      <w:pPr>
        <w:numPr>
          <w:ilvl w:val="0"/>
          <w:numId w:val="27"/>
        </w:numPr>
        <w:tabs>
          <w:tab w:val="clear" w:pos="720"/>
          <w:tab w:val="num" w:pos="1287"/>
        </w:tabs>
        <w:overflowPunct/>
        <w:autoSpaceDE/>
        <w:autoSpaceDN/>
        <w:adjustRightInd/>
        <w:spacing w:after="0"/>
        <w:ind w:left="1287"/>
        <w:jc w:val="left"/>
        <w:textAlignment w:val="auto"/>
        <w:rPr>
          <w:rFonts w:eastAsia="MS Mincho"/>
          <w:lang w:eastAsia="ja-JP"/>
        </w:rPr>
      </w:pPr>
      <w:r>
        <w:rPr>
          <w:rFonts w:eastAsia="MS Mincho"/>
          <w:lang w:val="en-US" w:eastAsia="ja-JP"/>
        </w:rPr>
        <w:t>FFS whether f</w:t>
      </w:r>
      <w:r w:rsidRPr="001C454E">
        <w:rPr>
          <w:rFonts w:eastAsia="MS Mincho"/>
          <w:lang w:val="en-US" w:eastAsia="ja-JP"/>
        </w:rPr>
        <w:t xml:space="preserve">or a code block group (CBG) containing 2 or more CBs but not all CBs of the TB, </w:t>
      </w:r>
      <w:r>
        <w:rPr>
          <w:rFonts w:eastAsia="MS Mincho"/>
          <w:lang w:val="en-US" w:eastAsia="ja-JP"/>
        </w:rPr>
        <w:t>any</w:t>
      </w:r>
      <w:r w:rsidRPr="001C454E">
        <w:rPr>
          <w:rFonts w:eastAsia="MS Mincho"/>
          <w:lang w:val="en-US" w:eastAsia="ja-JP"/>
        </w:rPr>
        <w:t xml:space="preserve"> additional CRC bits are attached to the CBG</w:t>
      </w:r>
    </w:p>
    <w:p w14:paraId="6C6362FA" w14:textId="77777777" w:rsidR="00986A3A" w:rsidRPr="003F5094" w:rsidRDefault="00986A3A" w:rsidP="00986A3A">
      <w:pPr>
        <w:pStyle w:val="BodyText"/>
        <w:ind w:left="567"/>
        <w:rPr>
          <w:rFonts w:cs="Arial"/>
        </w:rPr>
      </w:pPr>
      <w:r>
        <w:rPr>
          <w:rFonts w:eastAsia="MS Mincho"/>
          <w:lang w:val="en-US" w:eastAsia="ja-JP"/>
        </w:rPr>
        <w:t xml:space="preserve">To be decide after decision on the value(s) of </w:t>
      </w:r>
      <w:r w:rsidRPr="001C454E">
        <w:rPr>
          <w:rFonts w:eastAsia="MS Mincho"/>
          <w:lang w:val="en-US" w:eastAsia="ja-JP"/>
        </w:rPr>
        <w:t>L</w:t>
      </w:r>
      <w:r w:rsidRPr="001C454E">
        <w:rPr>
          <w:rFonts w:eastAsia="MS Mincho"/>
          <w:vertAlign w:val="subscript"/>
          <w:lang w:val="en-US" w:eastAsia="ja-JP"/>
        </w:rPr>
        <w:t>CB,CRC</w:t>
      </w:r>
    </w:p>
    <w:p w14:paraId="7F4755D2" w14:textId="77777777" w:rsidR="00DF48C6" w:rsidRPr="00B414C1" w:rsidRDefault="00DF48C6" w:rsidP="00DF48C6">
      <w:pPr>
        <w:tabs>
          <w:tab w:val="num" w:pos="1647"/>
        </w:tabs>
        <w:overflowPunct/>
        <w:autoSpaceDE/>
        <w:autoSpaceDN/>
        <w:adjustRightInd/>
        <w:spacing w:after="0"/>
        <w:textAlignment w:val="auto"/>
        <w:rPr>
          <w:rFonts w:eastAsia="MS Mincho"/>
          <w:iCs/>
          <w:lang w:val="en-US"/>
        </w:rPr>
      </w:pPr>
    </w:p>
    <w:p w14:paraId="197CF379" w14:textId="1CA3ED10" w:rsidR="00D538F4" w:rsidRPr="007B78FE" w:rsidRDefault="00D538F4" w:rsidP="00D538F4">
      <w:pPr>
        <w:pStyle w:val="BodyText"/>
        <w:rPr>
          <w:lang w:val="en-US"/>
        </w:rPr>
      </w:pPr>
      <w:r w:rsidRPr="007B78FE">
        <w:rPr>
          <w:lang w:val="en-US"/>
        </w:rPr>
        <w:t xml:space="preserve">In this contribution, we discuss </w:t>
      </w:r>
      <w:r w:rsidR="00DF48C6">
        <w:rPr>
          <w:lang w:val="en-US"/>
        </w:rPr>
        <w:t>the code block group formation design</w:t>
      </w:r>
      <w:r w:rsidR="0010118E">
        <w:rPr>
          <w:lang w:val="en-US"/>
        </w:rPr>
        <w:t>s</w:t>
      </w:r>
      <w:r w:rsidR="00F11623">
        <w:rPr>
          <w:lang w:val="en-US"/>
        </w:rPr>
        <w:t xml:space="preserve"> and CRC attachment</w:t>
      </w:r>
      <w:r w:rsidR="00DF48C6">
        <w:rPr>
          <w:lang w:val="en-US"/>
        </w:rPr>
        <w:t>.</w:t>
      </w:r>
    </w:p>
    <w:p w14:paraId="2DFAC73A" w14:textId="62FA3926" w:rsidR="00EA60F2" w:rsidRDefault="004000E8" w:rsidP="000B0589">
      <w:pPr>
        <w:pStyle w:val="Heading1"/>
        <w:rPr>
          <w:lang w:val="en-US"/>
        </w:rPr>
      </w:pPr>
      <w:bookmarkStart w:id="0" w:name="_Ref178064866"/>
      <w:r w:rsidRPr="00EA60F2">
        <w:rPr>
          <w:lang w:val="en-US"/>
        </w:rPr>
        <w:lastRenderedPageBreak/>
        <w:t>Discussion</w:t>
      </w:r>
      <w:bookmarkEnd w:id="0"/>
    </w:p>
    <w:p w14:paraId="346F557A" w14:textId="74FAA5A9" w:rsidR="00EA60F2" w:rsidRPr="00EA60F2" w:rsidRDefault="00EA60F2" w:rsidP="00EA60F2">
      <w:pPr>
        <w:pStyle w:val="Heading2"/>
        <w:rPr>
          <w:lang w:val="en-US"/>
        </w:rPr>
      </w:pPr>
      <w:r>
        <w:rPr>
          <w:lang w:val="en-US"/>
        </w:rPr>
        <w:t>Code Block Group Formation</w:t>
      </w:r>
    </w:p>
    <w:p w14:paraId="63799842" w14:textId="1DF97A74" w:rsidR="00843433" w:rsidRDefault="00843433" w:rsidP="00843433">
      <w:pPr>
        <w:pStyle w:val="BodyText"/>
      </w:pPr>
      <w:r>
        <w:t xml:space="preserve">Since the CBG size is semi-statically configured, the group size is applicable to all transmissions of the specific PDSCH or PUSCH link. For any given transmission, the actual number of CBs are determined by the allocated radio resources, the number of MIMO layers and the modulation and code rate (MCS). These CBs should be organized into the configured number of CBGs based on a fixed rule such that the transmitter and receiver can correctly exchange HARQ-ACK for the CBGs. </w:t>
      </w:r>
      <w:r w:rsidR="00F548C7">
        <w:t xml:space="preserve">The number of CBs per CBG should be as uniform as possible and consequently the difference of CB number per CBG between any two CBGs is either 0 or 1 </w:t>
      </w:r>
      <w:r>
        <w:t>For example, if a UE is configured with 3 CBGs and the PDSCH contains 8 CBs, then the fixed rule can organize the 3 CBGs as CBG#0=(CB#0, CB#1, CB#2), CBG#1= (CB#3, CB#4, CB#5) and CBG#2=(CB#6, CB#7).</w:t>
      </w:r>
      <w:r w:rsidR="00340CF6">
        <w:t xml:space="preserve"> This can be achieved using the following pseudo code which functions similarly as the procedure to divide a TB into CBs of two lengths in LTE:</w:t>
      </w:r>
    </w:p>
    <w:p w14:paraId="77C4C623" w14:textId="7D68A4B7" w:rsidR="00340CF6" w:rsidRDefault="00313B22" w:rsidP="00313B22">
      <w:pPr>
        <w:pStyle w:val="BodyText"/>
        <w:ind w:left="567"/>
        <w:rPr>
          <w:rFonts w:ascii="Courier New" w:hAnsi="Courier New" w:cs="Courier New"/>
        </w:rPr>
      </w:pPr>
      <w:bookmarkStart w:id="1" w:name="_Hlk484606818"/>
      <w:r>
        <w:rPr>
          <w:rFonts w:ascii="Courier New" w:hAnsi="Courier New" w:cs="Courier New"/>
        </w:rPr>
        <w:t>Input</w:t>
      </w:r>
    </w:p>
    <w:p w14:paraId="32840195" w14:textId="47456080" w:rsidR="00313B22" w:rsidRDefault="004646A6" w:rsidP="004646A6">
      <w:pPr>
        <w:pStyle w:val="BodyText"/>
        <w:ind w:left="1134"/>
        <w:rPr>
          <w:rFonts w:ascii="Courier New" w:hAnsi="Courier New" w:cs="Courier New"/>
        </w:rPr>
      </w:pPr>
      <m:oMath>
        <m:r>
          <w:rPr>
            <w:rFonts w:ascii="Cambria Math" w:hAnsi="Cambria Math" w:cs="Courier New"/>
          </w:rPr>
          <m:t>C</m:t>
        </m:r>
      </m:oMath>
      <w:r>
        <w:rPr>
          <w:rFonts w:ascii="Courier New" w:hAnsi="Courier New" w:cs="Courier New"/>
        </w:rPr>
        <w:t>:</w:t>
      </w:r>
      <w:r>
        <w:rPr>
          <w:rFonts w:ascii="Courier New" w:hAnsi="Courier New" w:cs="Courier New"/>
        </w:rPr>
        <w:tab/>
        <w:t>number of CBs</w:t>
      </w:r>
    </w:p>
    <w:p w14:paraId="534AF3E9" w14:textId="27981028" w:rsidR="004646A6" w:rsidRDefault="004646A6" w:rsidP="004646A6">
      <w:pPr>
        <w:pStyle w:val="BodyText"/>
        <w:ind w:left="1134"/>
        <w:rPr>
          <w:rFonts w:ascii="Courier New" w:hAnsi="Courier New" w:cs="Courier New"/>
        </w:rPr>
      </w:pPr>
      <m:oMath>
        <m:r>
          <w:rPr>
            <w:rFonts w:ascii="Cambria Math" w:hAnsi="Cambria Math" w:cs="Courier New"/>
          </w:rPr>
          <m:t>G</m:t>
        </m:r>
      </m:oMath>
      <w:r>
        <w:rPr>
          <w:rFonts w:ascii="Courier New" w:hAnsi="Courier New" w:cs="Courier New"/>
        </w:rPr>
        <w:t>:</w:t>
      </w:r>
      <w:r>
        <w:rPr>
          <w:rFonts w:ascii="Courier New" w:hAnsi="Courier New" w:cs="Courier New"/>
        </w:rPr>
        <w:tab/>
        <w:t>number of CBGs</w:t>
      </w:r>
    </w:p>
    <w:p w14:paraId="2BEB32F8" w14:textId="7B591D50" w:rsidR="004646A6" w:rsidRDefault="004646A6" w:rsidP="00313B22">
      <w:pPr>
        <w:pStyle w:val="BodyText"/>
        <w:ind w:left="567"/>
        <w:rPr>
          <w:rFonts w:ascii="Courier New" w:hAnsi="Courier New" w:cs="Courier New"/>
        </w:rPr>
      </w:pPr>
      <w:r>
        <w:rPr>
          <w:rFonts w:ascii="Courier New" w:hAnsi="Courier New" w:cs="Courier New"/>
        </w:rPr>
        <w:t>Output</w:t>
      </w:r>
    </w:p>
    <w:p w14:paraId="0E6D5ECC" w14:textId="177AA28F" w:rsidR="004646A6" w:rsidRDefault="004646A6" w:rsidP="006561F6">
      <w:pPr>
        <w:pStyle w:val="BodyText"/>
        <w:ind w:left="1134"/>
        <w:rPr>
          <w:rFonts w:ascii="Courier New" w:hAnsi="Courier New" w:cs="Courier New"/>
        </w:rPr>
      </w:pPr>
      <w:r>
        <w:rPr>
          <w:rFonts w:ascii="Courier New" w:hAnsi="Courier New" w:cs="Courier New"/>
        </w:rPr>
        <w:t xml:space="preserve">Determine </w:t>
      </w:r>
      <m:oMath>
        <m:r>
          <w:rPr>
            <w:rFonts w:ascii="Cambria Math" w:hAnsi="Cambria Math" w:cs="Courier New"/>
          </w:rPr>
          <m:t>B=</m:t>
        </m:r>
        <m:d>
          <m:dPr>
            <m:begChr m:val="⌈"/>
            <m:endChr m:val="⌉"/>
            <m:ctrlPr>
              <w:rPr>
                <w:rFonts w:ascii="Cambria Math" w:hAnsi="Cambria Math" w:cs="Courier New"/>
                <w:i/>
              </w:rPr>
            </m:ctrlPr>
          </m:dPr>
          <m:e>
            <m:f>
              <m:fPr>
                <m:ctrlPr>
                  <w:rPr>
                    <w:rFonts w:ascii="Cambria Math" w:hAnsi="Cambria Math" w:cs="Courier New"/>
                    <w:i/>
                  </w:rPr>
                </m:ctrlPr>
              </m:fPr>
              <m:num>
                <m:r>
                  <w:rPr>
                    <w:rFonts w:ascii="Cambria Math" w:hAnsi="Cambria Math" w:cs="Courier New"/>
                  </w:rPr>
                  <m:t>C</m:t>
                </m:r>
              </m:num>
              <m:den>
                <m:r>
                  <w:rPr>
                    <w:rFonts w:ascii="Cambria Math" w:hAnsi="Cambria Math" w:cs="Courier New"/>
                  </w:rPr>
                  <m:t>G</m:t>
                </m:r>
              </m:den>
            </m:f>
          </m:e>
        </m:d>
      </m:oMath>
    </w:p>
    <w:p w14:paraId="463DF158" w14:textId="13A874E7" w:rsidR="004646A6" w:rsidRDefault="00DC72DB" w:rsidP="006561F6">
      <w:pPr>
        <w:pStyle w:val="BodyText"/>
        <w:ind w:left="1134"/>
        <w:rPr>
          <w:rFonts w:ascii="Courier New" w:hAnsi="Courier New" w:cs="Courier New"/>
        </w:rPr>
      </w:pPr>
      <w:r>
        <w:rPr>
          <w:rFonts w:ascii="Courier New" w:hAnsi="Courier New" w:cs="Courier New"/>
        </w:rPr>
        <w:t xml:space="preserve">The first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oMath>
      <w:r>
        <w:rPr>
          <w:rFonts w:ascii="Courier New" w:hAnsi="Courier New" w:cs="Courier New"/>
        </w:rPr>
        <w:t xml:space="preserve"> CBGs contain</w:t>
      </w:r>
      <w:r w:rsidR="004646A6">
        <w:rPr>
          <w:rFonts w:ascii="Courier New" w:hAnsi="Courier New" w:cs="Courier New"/>
        </w:rPr>
        <w:t xml:space="preserve"> </w:t>
      </w:r>
      <m:oMath>
        <m:r>
          <w:rPr>
            <w:rFonts w:ascii="Cambria Math" w:hAnsi="Cambria Math" w:cs="Courier New"/>
          </w:rPr>
          <m:t>B</m:t>
        </m:r>
      </m:oMath>
      <w:r w:rsidR="004646A6">
        <w:rPr>
          <w:rFonts w:ascii="Courier New" w:hAnsi="Courier New" w:cs="Courier New"/>
        </w:rPr>
        <w:t xml:space="preserve"> CBs </w:t>
      </w:r>
      <w:r w:rsidR="000526D5">
        <w:rPr>
          <w:rFonts w:ascii="Courier New" w:hAnsi="Courier New" w:cs="Courier New"/>
        </w:rPr>
        <w:t xml:space="preserve">each, </w:t>
      </w:r>
      <w:r>
        <w:rPr>
          <w:rFonts w:ascii="Courier New" w:hAnsi="Courier New" w:cs="Courier New"/>
        </w:rPr>
        <w:t xml:space="preserve">where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r>
          <w:rPr>
            <w:rFonts w:ascii="Cambria Math" w:hAnsi="Cambria Math" w:cs="Courier New"/>
          </w:rPr>
          <m:t>=</m:t>
        </m:r>
        <m:d>
          <m:dPr>
            <m:begChr m:val="⌊"/>
            <m:endChr m:val="⌋"/>
            <m:ctrlPr>
              <w:rPr>
                <w:rFonts w:ascii="Cambria Math" w:hAnsi="Cambria Math" w:cs="Courier New"/>
                <w:i/>
              </w:rPr>
            </m:ctrlPr>
          </m:dPr>
          <m:e>
            <m:f>
              <m:fPr>
                <m:ctrlPr>
                  <w:rPr>
                    <w:rFonts w:ascii="Cambria Math" w:hAnsi="Cambria Math" w:cs="Courier New"/>
                    <w:i/>
                  </w:rPr>
                </m:ctrlPr>
              </m:fPr>
              <m:num>
                <m:r>
                  <w:rPr>
                    <w:rFonts w:ascii="Cambria Math" w:hAnsi="Cambria Math" w:cs="Courier New"/>
                  </w:rPr>
                  <m:t>C</m:t>
                </m:r>
              </m:num>
              <m:den>
                <m:r>
                  <w:rPr>
                    <w:rFonts w:ascii="Cambria Math" w:hAnsi="Cambria Math" w:cs="Courier New"/>
                  </w:rPr>
                  <m:t>B</m:t>
                </m:r>
              </m:den>
            </m:f>
          </m:e>
        </m:d>
      </m:oMath>
      <w:r w:rsidR="000526D5">
        <w:rPr>
          <w:rFonts w:ascii="Courier New" w:hAnsi="Courier New" w:cs="Courier New"/>
        </w:rPr>
        <w:t>.</w:t>
      </w:r>
    </w:p>
    <w:p w14:paraId="433C9A7C" w14:textId="589F3B5F" w:rsidR="004646A6" w:rsidRDefault="00DC72DB" w:rsidP="006561F6">
      <w:pPr>
        <w:pStyle w:val="BodyText"/>
        <w:ind w:left="1134"/>
        <w:rPr>
          <w:rFonts w:ascii="Courier New" w:hAnsi="Courier New" w:cs="Courier New"/>
        </w:rPr>
      </w:pPr>
      <w:r>
        <w:rPr>
          <w:rFonts w:ascii="Courier New" w:hAnsi="Courier New" w:cs="Courier New"/>
        </w:rPr>
        <w:t xml:space="preserve">The next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oMath>
      <w:r>
        <w:rPr>
          <w:rFonts w:ascii="Courier New" w:hAnsi="Courier New" w:cs="Courier New"/>
        </w:rPr>
        <w:t xml:space="preserve"> CBGs contain</w:t>
      </w:r>
      <w:r w:rsidR="004646A6">
        <w:rPr>
          <w:rFonts w:ascii="Courier New" w:hAnsi="Courier New" w:cs="Courier New"/>
        </w:rPr>
        <w:t xml:space="preserve"> </w:t>
      </w:r>
      <m:oMath>
        <m:r>
          <w:rPr>
            <w:rFonts w:ascii="Cambria Math" w:hAnsi="Cambria Math" w:cs="Courier New"/>
          </w:rPr>
          <m:t>(B-1)</m:t>
        </m:r>
      </m:oMath>
      <w:r w:rsidR="004646A6">
        <w:rPr>
          <w:rFonts w:ascii="Courier New" w:hAnsi="Courier New" w:cs="Courier New"/>
        </w:rPr>
        <w:t xml:space="preserve"> CBs </w:t>
      </w:r>
      <w:r w:rsidR="000526D5">
        <w:rPr>
          <w:rFonts w:ascii="Courier New" w:hAnsi="Courier New" w:cs="Courier New"/>
        </w:rPr>
        <w:t xml:space="preserve">each, </w:t>
      </w:r>
      <w:r>
        <w:rPr>
          <w:rFonts w:ascii="Courier New" w:hAnsi="Courier New" w:cs="Courier New"/>
        </w:rPr>
        <w:t xml:space="preserve">where </w:t>
      </w:r>
      <m:oMath>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r>
          <w:rPr>
            <w:rFonts w:ascii="Cambria Math" w:hAnsi="Cambria Math" w:cs="Courier New"/>
          </w:rPr>
          <m:t>=G-</m:t>
        </m:r>
        <m:sSup>
          <m:sSupPr>
            <m:ctrlPr>
              <w:rPr>
                <w:rFonts w:ascii="Cambria Math" w:hAnsi="Cambria Math" w:cs="Courier New"/>
                <w:i/>
              </w:rPr>
            </m:ctrlPr>
          </m:sSupPr>
          <m:e>
            <m:r>
              <w:rPr>
                <w:rFonts w:ascii="Cambria Math" w:hAnsi="Cambria Math" w:cs="Courier New"/>
              </w:rPr>
              <m:t>G</m:t>
            </m:r>
          </m:e>
          <m:sup>
            <m:r>
              <w:rPr>
                <w:rFonts w:ascii="Cambria Math" w:hAnsi="Cambria Math" w:cs="Courier New"/>
              </w:rPr>
              <m:t>+</m:t>
            </m:r>
          </m:sup>
        </m:sSup>
      </m:oMath>
      <w:r w:rsidR="000526D5">
        <w:rPr>
          <w:rFonts w:ascii="Courier New" w:hAnsi="Courier New" w:cs="Courier New"/>
        </w:rPr>
        <w:t>.</w:t>
      </w:r>
    </w:p>
    <w:bookmarkEnd w:id="1"/>
    <w:p w14:paraId="160C3938" w14:textId="03C0A027" w:rsidR="006561F6" w:rsidRDefault="006561F6" w:rsidP="006561F6">
      <w:pPr>
        <w:pStyle w:val="BodyText"/>
      </w:pPr>
      <w:r>
        <w:t xml:space="preserve">Note the above pseudo code handles the case where </w:t>
      </w:r>
      <m:oMath>
        <m:r>
          <w:rPr>
            <w:rFonts w:ascii="Cambria Math" w:hAnsi="Cambria Math"/>
          </w:rPr>
          <m:t>C&lt;G</m:t>
        </m:r>
      </m:oMath>
      <w:r>
        <w:t xml:space="preserve"> correctly. </w:t>
      </w:r>
      <w:r w:rsidR="008B11AF">
        <w:t xml:space="preserve">For that case, </w:t>
      </w:r>
      <m:oMath>
        <m:r>
          <w:rPr>
            <w:rFonts w:ascii="Cambria Math" w:hAnsi="Cambria Math"/>
          </w:rPr>
          <m:t>B=1</m:t>
        </m:r>
      </m:oMath>
      <w:r w:rsidR="008B11AF">
        <w:t xml:space="preserve"> and </w:t>
      </w:r>
      <m:oMath>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=C</m:t>
        </m:r>
      </m:oMath>
      <w:r w:rsidR="008B11AF">
        <w:t xml:space="preserve"> CBGs have 1 CB each.</w:t>
      </w:r>
    </w:p>
    <w:p w14:paraId="496530AB" w14:textId="77777777" w:rsidR="006561F6" w:rsidRDefault="006561F6" w:rsidP="006561F6">
      <w:pPr>
        <w:pStyle w:val="BodyText"/>
      </w:pPr>
    </w:p>
    <w:p w14:paraId="4AD313B6" w14:textId="35298CD3" w:rsidR="00843433" w:rsidRPr="006C107E" w:rsidRDefault="00843433" w:rsidP="00843433">
      <w:pPr>
        <w:pStyle w:val="BodyText"/>
        <w:rPr>
          <w:b/>
        </w:rPr>
      </w:pPr>
      <w:r w:rsidRPr="006C107E">
        <w:rPr>
          <w:b/>
        </w:rPr>
        <w:t xml:space="preserve">Proposal </w:t>
      </w:r>
      <w:r w:rsidR="00AC0B70">
        <w:rPr>
          <w:b/>
        </w:rPr>
        <w:t>1</w:t>
      </w:r>
      <w:r w:rsidRPr="006C107E">
        <w:rPr>
          <w:b/>
        </w:rPr>
        <w:t xml:space="preserve"> The CBs of a PDSCH or PUSCH transmission are grouped into the configured </w:t>
      </w:r>
      <w:r>
        <w:rPr>
          <w:b/>
        </w:rPr>
        <w:t xml:space="preserve">number of CBGs </w:t>
      </w:r>
      <w:r w:rsidRPr="006C107E">
        <w:rPr>
          <w:b/>
        </w:rPr>
        <w:t>based on a rule described in the L1 specs.</w:t>
      </w:r>
      <w:r w:rsidR="001F20EE">
        <w:rPr>
          <w:b/>
        </w:rPr>
        <w:t xml:space="preserve"> </w:t>
      </w:r>
    </w:p>
    <w:p w14:paraId="2FD15528" w14:textId="46A705F4" w:rsidR="00B7198C" w:rsidRDefault="00B7198C" w:rsidP="0068756A">
      <w:pPr>
        <w:pStyle w:val="BodyText"/>
      </w:pPr>
    </w:p>
    <w:p w14:paraId="13A061A0" w14:textId="3C221B7D" w:rsidR="00C23998" w:rsidRPr="00453D58" w:rsidRDefault="00C23998" w:rsidP="0068756A">
      <w:pPr>
        <w:pStyle w:val="BodyText"/>
      </w:pPr>
      <w:r w:rsidRPr="00453D58">
        <w:t xml:space="preserve">Furthermore, the CB groups is fixed once formed. </w:t>
      </w:r>
      <w:r w:rsidR="00453D58" w:rsidRPr="00453D58">
        <w:t>This is because CBG HARQ-ACK feedback length should remain unchanged across multiple HARQ-ACK feedback occasions to avoid error cases and to address LDPC decoding throughput issues in retransmissions</w:t>
      </w:r>
      <w:r w:rsidR="00453D58">
        <w:t xml:space="preserve"> </w:t>
      </w:r>
      <w:r w:rsidR="00814634">
        <w:fldChar w:fldCharType="begin"/>
      </w:r>
      <w:r w:rsidR="00814634">
        <w:instrText xml:space="preserve"> REF _Ref484607387 \r \h </w:instrText>
      </w:r>
      <w:r w:rsidR="00814634">
        <w:fldChar w:fldCharType="separate"/>
      </w:r>
      <w:r w:rsidR="00814634">
        <w:t>[3]</w:t>
      </w:r>
      <w:r w:rsidR="00814634">
        <w:fldChar w:fldCharType="end"/>
      </w:r>
      <w:r w:rsidR="00453D58">
        <w:fldChar w:fldCharType="begin"/>
      </w:r>
      <w:r w:rsidR="00453D58">
        <w:instrText xml:space="preserve"> REF _Ref481764673 \r \h </w:instrText>
      </w:r>
      <w:r w:rsidR="00453D58">
        <w:fldChar w:fldCharType="separate"/>
      </w:r>
      <w:r w:rsidR="00F65221">
        <w:t>[4]</w:t>
      </w:r>
      <w:r w:rsidR="00453D58">
        <w:fldChar w:fldCharType="end"/>
      </w:r>
      <w:r w:rsidR="00453D58" w:rsidRPr="00453D58">
        <w:t>.</w:t>
      </w:r>
      <w:r w:rsidR="00453D58">
        <w:t xml:space="preserve"> This is because there </w:t>
      </w:r>
      <w:r w:rsidR="00453D58">
        <w:rPr>
          <w:lang w:val="en-US"/>
        </w:rPr>
        <w:t xml:space="preserve">is a possibility that the receiver may find the TB level CRC fails after all code blocks are decoded and passed CB level CRC. To handle such cases, the receiver should be allowed to NACK all CB groups in a HARQ-ACK feedback even when some of the CB groups had been previously ACKed. More importantly, the CBG HARQ protocol should be designed to address LDPC </w:t>
      </w:r>
      <w:r w:rsidR="00453D58" w:rsidRPr="00453D58">
        <w:t>decoding throughput issues in retransmissions</w:t>
      </w:r>
      <w:r w:rsidR="00453D58">
        <w:t xml:space="preserve">. </w:t>
      </w:r>
      <w:r w:rsidR="000343A3">
        <w:t>A receiver may send a CBG HARQ-ACK feedback that indicates NAK on a subset of the CB groups that failed decoding if it expects it will not be able to finish decoding retransmission of the full failed CB groups. Alternatively, the gNB may consider the decoding capability of the UE receiver and decide to retransmit only a subset of the CB groups that were NACKed by the UE.</w:t>
      </w:r>
    </w:p>
    <w:p w14:paraId="567F1A9D" w14:textId="45FF4BAF" w:rsidR="00293CF0" w:rsidRDefault="00293CF0" w:rsidP="0068756A">
      <w:pPr>
        <w:pStyle w:val="BodyText"/>
      </w:pPr>
    </w:p>
    <w:p w14:paraId="1EDC1536" w14:textId="7678295A" w:rsidR="00293CF0" w:rsidRPr="00293CF0" w:rsidRDefault="00293CF0" w:rsidP="00293CF0">
      <w:pPr>
        <w:pStyle w:val="BodyText"/>
        <w:rPr>
          <w:b/>
        </w:rPr>
      </w:pPr>
      <w:r w:rsidRPr="00293CF0">
        <w:rPr>
          <w:b/>
        </w:rPr>
        <w:t xml:space="preserve">Proposal 2 The CB groups </w:t>
      </w:r>
      <w:r>
        <w:rPr>
          <w:b/>
        </w:rPr>
        <w:t xml:space="preserve">remain </w:t>
      </w:r>
      <w:r w:rsidRPr="00293CF0">
        <w:rPr>
          <w:b/>
        </w:rPr>
        <w:t xml:space="preserve">fixed </w:t>
      </w:r>
      <w:r>
        <w:rPr>
          <w:b/>
        </w:rPr>
        <w:t>after formation</w:t>
      </w:r>
      <w:r w:rsidR="00F337A1">
        <w:rPr>
          <w:b/>
        </w:rPr>
        <w:t xml:space="preserve"> (including retransmissions)</w:t>
      </w:r>
      <w:r w:rsidRPr="00293CF0">
        <w:rPr>
          <w:b/>
        </w:rPr>
        <w:t>.</w:t>
      </w:r>
    </w:p>
    <w:p w14:paraId="3D8EDF03" w14:textId="01986B38" w:rsidR="00293CF0" w:rsidRDefault="00293CF0" w:rsidP="0068756A">
      <w:pPr>
        <w:pStyle w:val="BodyText"/>
      </w:pPr>
    </w:p>
    <w:p w14:paraId="4F56008F" w14:textId="7D48F4A5" w:rsidR="00CE5994" w:rsidRDefault="00CE5994" w:rsidP="0068756A">
      <w:pPr>
        <w:pStyle w:val="BodyText"/>
        <w:rPr>
          <w:rFonts w:eastAsia="MS Mincho"/>
          <w:iCs/>
          <w:lang w:val="en-US"/>
        </w:rPr>
      </w:pPr>
      <w:r>
        <w:t xml:space="preserve">For different use scenarios or application cases, it should be up to gNB to decide the optimal code block group size to operate. Making fixed rules/tables to determine the </w:t>
      </w:r>
      <w:r>
        <w:rPr>
          <w:rFonts w:eastAsia="MS Mincho"/>
          <w:iCs/>
          <w:lang w:val="en-US"/>
        </w:rPr>
        <w:t xml:space="preserve">number of CBGs and/or the number CBs per CBG according to TBS will not address operation targets. </w:t>
      </w:r>
    </w:p>
    <w:p w14:paraId="72DE52C0" w14:textId="71B7B70C" w:rsidR="00CE5994" w:rsidRDefault="00CE5994" w:rsidP="0068756A">
      <w:pPr>
        <w:pStyle w:val="BodyText"/>
        <w:rPr>
          <w:rFonts w:eastAsia="MS Mincho"/>
          <w:iCs/>
          <w:lang w:val="en-US"/>
        </w:rPr>
      </w:pPr>
    </w:p>
    <w:p w14:paraId="451AAD9D" w14:textId="688324AD" w:rsidR="00CE5994" w:rsidRPr="00CE5994" w:rsidRDefault="00CE5994" w:rsidP="00CE5994">
      <w:pPr>
        <w:pStyle w:val="BodyText"/>
        <w:rPr>
          <w:b/>
        </w:rPr>
      </w:pPr>
      <w:r w:rsidRPr="00CE5994">
        <w:rPr>
          <w:b/>
        </w:rPr>
        <w:t xml:space="preserve">Proposal 3 There should be no fixed rules/tables to determine the </w:t>
      </w:r>
      <w:r w:rsidRPr="00CE5994">
        <w:rPr>
          <w:rFonts w:eastAsia="MS Mincho"/>
          <w:b/>
          <w:iCs/>
          <w:lang w:val="en-US"/>
        </w:rPr>
        <w:t xml:space="preserve">number of CBGs and/or the number CBs per CBG according to TBS. </w:t>
      </w:r>
      <w:r w:rsidRPr="00CE5994">
        <w:rPr>
          <w:b/>
        </w:rPr>
        <w:t>It should be up to gNB to decide the optimal code block group size to operate.</w:t>
      </w:r>
    </w:p>
    <w:p w14:paraId="4D8719CA" w14:textId="70085075" w:rsidR="00CE5994" w:rsidRDefault="00CE5994" w:rsidP="0068756A">
      <w:pPr>
        <w:pStyle w:val="BodyText"/>
      </w:pPr>
    </w:p>
    <w:p w14:paraId="0A0387A0" w14:textId="44335098" w:rsidR="00EA60F2" w:rsidRDefault="00EA60F2" w:rsidP="00EA60F2">
      <w:pPr>
        <w:pStyle w:val="Heading2"/>
      </w:pPr>
      <w:r w:rsidRPr="00EA60F2">
        <w:t xml:space="preserve">CRC Attachments for Code Block Group Based HARQ-ACK </w:t>
      </w:r>
    </w:p>
    <w:p w14:paraId="428E9272" w14:textId="77777777" w:rsidR="003161D2" w:rsidRDefault="003161D2" w:rsidP="003161D2">
      <w:pPr>
        <w:pStyle w:val="BodyText"/>
      </w:pPr>
      <w:r>
        <w:t>It was discussed in RAN1 #88 on whether an additional CBG level CRC should be introduced. The utility of such proposal should be analysed in terms of benefits relative to CB level CRC as well as in terms of impact to efficient receiver hardware implementation.</w:t>
      </w:r>
    </w:p>
    <w:p w14:paraId="7295035E" w14:textId="113CAB01" w:rsidR="003161D2" w:rsidRDefault="003161D2" w:rsidP="003161D2">
      <w:pPr>
        <w:pStyle w:val="BodyText"/>
      </w:pPr>
      <w:r>
        <w:t>The usefulness of CBG based HARQ-ACK feedback is made possible by the potentially differing performance of different CBs. Since multiple CBs are present only when the transport block size exceeds 8192 bits, each of the CBs has thousands of bits. Note further that LDPC code has inherent error detection capability, which is also under discussion in the channel coding design sessions. For these large LDPC CBs, block errors may be missed by the inherent error detection capability with a probability no higher than 5E</w:t>
      </w:r>
      <w:r w:rsidRPr="001834F8">
        <w:rPr>
          <w:rFonts w:ascii="Courier New" w:hAnsi="Courier New" w:cs="Courier New"/>
        </w:rPr>
        <w:t>-</w:t>
      </w:r>
      <w:r>
        <w:t>6</w:t>
      </w:r>
      <w:r w:rsidR="001F7F88">
        <w:t xml:space="preserve"> </w:t>
      </w:r>
      <w:r w:rsidR="001F7F88">
        <w:fldChar w:fldCharType="begin"/>
      </w:r>
      <w:r w:rsidR="001F7F88">
        <w:instrText xml:space="preserve"> REF _Ref477978143 \r \h </w:instrText>
      </w:r>
      <w:r w:rsidR="001F7F88">
        <w:fldChar w:fldCharType="separate"/>
      </w:r>
      <w:r w:rsidR="001F7F88">
        <w:t>[5]</w:t>
      </w:r>
      <w:r w:rsidR="001F7F88">
        <w:fldChar w:fldCharType="end"/>
      </w:r>
      <w:r>
        <w:t xml:space="preserve">. The reliability of the CB level CRC can be exponentially enhanced with the number of the CRC bits. With CB size in the order of thousands of bits, adding a few CRC bits induces negligible losses in throughput. The actual number of explicit CB level CRC may be small while still achieving high error detection reliability. The CBG level CRC, on the other hand, are not and cannot be integrated as part of the LDPC decoding process/hardware. It thus induces additional hardware/processing and causes additional latency. Since its error detection capability cannot be joined with that of the LDPC code, it necessitates a sufficiently long CBG level CRC attachment to meeting CBG error detection requirements. </w:t>
      </w:r>
    </w:p>
    <w:p w14:paraId="59AF12D3" w14:textId="77777777" w:rsidR="003161D2" w:rsidRPr="004E4813" w:rsidRDefault="003161D2" w:rsidP="003161D2">
      <w:pPr>
        <w:pStyle w:val="BodyText"/>
        <w:rPr>
          <w:b/>
        </w:rPr>
      </w:pPr>
      <w:r w:rsidRPr="004E4813">
        <w:rPr>
          <w:b/>
        </w:rPr>
        <w:t xml:space="preserve">Observation </w:t>
      </w:r>
      <w:r>
        <w:rPr>
          <w:b/>
        </w:rPr>
        <w:t>1</w:t>
      </w:r>
      <w:r w:rsidRPr="004E4813">
        <w:rPr>
          <w:b/>
        </w:rPr>
        <w:t xml:space="preserve"> CBG level CRC does not offer material benefits relative to properly designed CB level CRC.</w:t>
      </w:r>
    </w:p>
    <w:p w14:paraId="2C72153A" w14:textId="77777777" w:rsidR="003161D2" w:rsidRDefault="003161D2" w:rsidP="003161D2">
      <w:pPr>
        <w:pStyle w:val="BodyText"/>
      </w:pPr>
    </w:p>
    <w:p w14:paraId="2FA50D1D" w14:textId="2076737D" w:rsidR="003161D2" w:rsidRDefault="003161D2" w:rsidP="003161D2">
      <w:pPr>
        <w:pStyle w:val="BodyText"/>
      </w:pPr>
      <w:r>
        <w:t xml:space="preserve">To meet the high data rate and stringent low latency requirements for NR, receiver architectures on both the gNB and UE sides need to be optimized via parallelization and pipelined hardware designs as simple example illustrated in </w:t>
      </w:r>
      <w:r>
        <w:fldChar w:fldCharType="begin"/>
      </w:r>
      <w:r>
        <w:instrText xml:space="preserve"> REF _Ref477952277 \h </w:instrText>
      </w:r>
      <w:r>
        <w:fldChar w:fldCharType="separate"/>
      </w:r>
      <w:r w:rsidR="00F65221">
        <w:t xml:space="preserve">Figure </w:t>
      </w:r>
      <w:r w:rsidR="00F65221">
        <w:rPr>
          <w:noProof/>
        </w:rPr>
        <w:t>1</w:t>
      </w:r>
      <w:r>
        <w:fldChar w:fldCharType="end"/>
      </w:r>
      <w:r>
        <w:t>. The CB level CRC check can in generally be integrated in the decoding hardware to achieve high efficiency or to assist early stopping of iterative decoding. The routing of the soft values and decode bits are also optimized to minimize buffer memory usages.</w:t>
      </w:r>
    </w:p>
    <w:p w14:paraId="69F4F078" w14:textId="77777777" w:rsidR="003161D2" w:rsidRDefault="003161D2" w:rsidP="003161D2">
      <w:pPr>
        <w:pStyle w:val="BodyText"/>
      </w:pPr>
      <w:r>
        <w:t xml:space="preserve">From the point of view of high throughput and low latency hardware design, this CBG level CRC can have substantial negative impacts on implementation. Since CBG HARQ-ACK procedures are not always useful or used, the need to compute the additional CBG level CRC is hence not always needed. Note further that different CBGs can contain different numbers of CBs. To support all these different possibilities, the implementation needs to add conditional re-routing of the bits into the intricately designed parallel and pipelined hardware. This can potentially create process lockups as well as additional buffer memory requirements. </w:t>
      </w:r>
    </w:p>
    <w:p w14:paraId="74BA0AC0" w14:textId="77777777" w:rsidR="003161D2" w:rsidRPr="00A52B67" w:rsidRDefault="003161D2" w:rsidP="003161D2">
      <w:pPr>
        <w:pStyle w:val="BodyText"/>
        <w:rPr>
          <w:b/>
        </w:rPr>
      </w:pPr>
      <w:r w:rsidRPr="00A52B67">
        <w:rPr>
          <w:b/>
        </w:rPr>
        <w:t xml:space="preserve">Observation </w:t>
      </w:r>
      <w:r>
        <w:rPr>
          <w:b/>
        </w:rPr>
        <w:t>2</w:t>
      </w:r>
      <w:r w:rsidRPr="00A52B67">
        <w:rPr>
          <w:b/>
        </w:rPr>
        <w:t xml:space="preserve"> Introducing CBG level CRC can have </w:t>
      </w:r>
      <w:r>
        <w:rPr>
          <w:b/>
        </w:rPr>
        <w:t>significant</w:t>
      </w:r>
      <w:r w:rsidRPr="00A52B67">
        <w:rPr>
          <w:b/>
        </w:rPr>
        <w:t xml:space="preserve"> negative impacts to receiver hardware designed for meeting high data rate and stringent low latency requirements.</w:t>
      </w:r>
    </w:p>
    <w:p w14:paraId="203B5BD1" w14:textId="77777777" w:rsidR="003161D2" w:rsidRDefault="003161D2" w:rsidP="003161D2">
      <w:pPr>
        <w:pStyle w:val="BodyText"/>
      </w:pPr>
    </w:p>
    <w:p w14:paraId="203E2257" w14:textId="77777777" w:rsidR="003161D2" w:rsidRDefault="003161D2" w:rsidP="003161D2">
      <w:pPr>
        <w:jc w:val="center"/>
      </w:pPr>
      <w:r w:rsidRPr="00A61366">
        <w:object w:dxaOrig="22076" w:dyaOrig="6540" w14:anchorId="50B81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2pt;height:114.8pt" o:ole="">
            <v:imagedata r:id="rId14" o:title=""/>
          </v:shape>
          <o:OLEObject Type="Embed" ProgID="Visio.Drawing.11" ShapeID="_x0000_i1025" DrawAspect="Content" ObjectID="_1559141041" r:id="rId15"/>
        </w:object>
      </w:r>
    </w:p>
    <w:p w14:paraId="0AB82D0A" w14:textId="0E4D2505" w:rsidR="003161D2" w:rsidRDefault="003161D2" w:rsidP="003161D2">
      <w:pPr>
        <w:pStyle w:val="Caption"/>
      </w:pPr>
      <w:bookmarkStart w:id="2" w:name="_Ref477952277"/>
      <w:r>
        <w:t xml:space="preserve">Figure </w:t>
      </w:r>
      <w:r>
        <w:fldChar w:fldCharType="begin"/>
      </w:r>
      <w:r>
        <w:instrText xml:space="preserve"> SEQ Figure \* ARABIC </w:instrText>
      </w:r>
      <w:r>
        <w:fldChar w:fldCharType="separate"/>
      </w:r>
      <w:r w:rsidR="00F65221">
        <w:rPr>
          <w:noProof/>
        </w:rPr>
        <w:t>1</w:t>
      </w:r>
      <w:r>
        <w:fldChar w:fldCharType="end"/>
      </w:r>
      <w:bookmarkEnd w:id="2"/>
      <w:r>
        <w:t xml:space="preserve"> Parallel and pipeline processing for NR receivers</w:t>
      </w:r>
    </w:p>
    <w:p w14:paraId="56A48C68" w14:textId="77777777" w:rsidR="003161D2" w:rsidRDefault="003161D2" w:rsidP="003161D2">
      <w:pPr>
        <w:pStyle w:val="BodyText"/>
      </w:pPr>
    </w:p>
    <w:p w14:paraId="01AB5F55" w14:textId="77777777" w:rsidR="003161D2" w:rsidRDefault="003161D2" w:rsidP="003161D2">
      <w:pPr>
        <w:pStyle w:val="BodyText"/>
      </w:pPr>
      <w:r>
        <w:t>Based on the above analysis, we propose</w:t>
      </w:r>
    </w:p>
    <w:p w14:paraId="2674E26C" w14:textId="6CFD0F5B" w:rsidR="003161D2" w:rsidRPr="004E4813" w:rsidRDefault="003161D2" w:rsidP="003161D2">
      <w:pPr>
        <w:pStyle w:val="BodyText"/>
        <w:rPr>
          <w:b/>
        </w:rPr>
      </w:pPr>
      <w:r w:rsidRPr="004E4813">
        <w:rPr>
          <w:b/>
        </w:rPr>
        <w:t xml:space="preserve">Proposal </w:t>
      </w:r>
      <w:r w:rsidR="00122D0D">
        <w:rPr>
          <w:b/>
        </w:rPr>
        <w:t>4</w:t>
      </w:r>
      <w:r w:rsidRPr="004E4813">
        <w:rPr>
          <w:b/>
        </w:rPr>
        <w:t xml:space="preserve"> CBG level CRC is not introduced for NR.</w:t>
      </w:r>
    </w:p>
    <w:p w14:paraId="4E34219C" w14:textId="77777777" w:rsidR="00EA60F2" w:rsidRDefault="00EA60F2" w:rsidP="0068756A">
      <w:pPr>
        <w:pStyle w:val="BodyText"/>
      </w:pPr>
    </w:p>
    <w:p w14:paraId="2C1B6BD4" w14:textId="77777777" w:rsidR="00C01F33" w:rsidRPr="007B78FE" w:rsidRDefault="00C01F33" w:rsidP="00CE0424">
      <w:pPr>
        <w:pStyle w:val="Heading1"/>
        <w:rPr>
          <w:lang w:val="en-US"/>
        </w:rPr>
      </w:pPr>
      <w:r w:rsidRPr="007B78FE">
        <w:rPr>
          <w:lang w:val="en-US"/>
        </w:rPr>
        <w:lastRenderedPageBreak/>
        <w:t>Conclusion</w:t>
      </w:r>
    </w:p>
    <w:p w14:paraId="2D235AD5" w14:textId="6C4252C7" w:rsidR="001154BD" w:rsidRDefault="007B78FE" w:rsidP="008E065E">
      <w:pPr>
        <w:rPr>
          <w:bCs/>
          <w:lang w:val="en-US"/>
        </w:rPr>
      </w:pPr>
      <w:r w:rsidRPr="007B78FE">
        <w:rPr>
          <w:bCs/>
          <w:lang w:val="en-US"/>
        </w:rPr>
        <w:t xml:space="preserve">We </w:t>
      </w:r>
      <w:r w:rsidR="0010118E" w:rsidRPr="007B78FE">
        <w:rPr>
          <w:lang w:val="en-US"/>
        </w:rPr>
        <w:t>discuss</w:t>
      </w:r>
      <w:r w:rsidR="0010118E">
        <w:rPr>
          <w:lang w:val="en-US"/>
        </w:rPr>
        <w:t>ed</w:t>
      </w:r>
      <w:r w:rsidR="0010118E" w:rsidRPr="007B78FE">
        <w:rPr>
          <w:lang w:val="en-US"/>
        </w:rPr>
        <w:t xml:space="preserve"> </w:t>
      </w:r>
      <w:r w:rsidR="0010118E">
        <w:rPr>
          <w:lang w:val="en-US"/>
        </w:rPr>
        <w:t>the code block group formation designs. We propose</w:t>
      </w:r>
    </w:p>
    <w:p w14:paraId="0C347BF7" w14:textId="0319CB22" w:rsidR="0010118E" w:rsidRDefault="0010118E" w:rsidP="00172876">
      <w:pPr>
        <w:pStyle w:val="BodyText"/>
        <w:rPr>
          <w:b/>
        </w:rPr>
      </w:pPr>
      <w:r w:rsidRPr="006C107E">
        <w:rPr>
          <w:b/>
        </w:rPr>
        <w:t xml:space="preserve">Proposal </w:t>
      </w:r>
      <w:r>
        <w:rPr>
          <w:b/>
        </w:rPr>
        <w:t>1</w:t>
      </w:r>
      <w:r w:rsidRPr="006C107E">
        <w:rPr>
          <w:b/>
        </w:rPr>
        <w:t xml:space="preserve"> The CBs of a PDSCH or PUSCH transmission are grouped into the configured </w:t>
      </w:r>
      <w:r>
        <w:rPr>
          <w:b/>
        </w:rPr>
        <w:t xml:space="preserve">number of CBGs </w:t>
      </w:r>
      <w:r w:rsidRPr="006C107E">
        <w:rPr>
          <w:b/>
        </w:rPr>
        <w:t>based on a rule described in the L1 specs.</w:t>
      </w:r>
      <w:r>
        <w:rPr>
          <w:b/>
        </w:rPr>
        <w:t xml:space="preserve"> </w:t>
      </w:r>
    </w:p>
    <w:p w14:paraId="78D5D6FB" w14:textId="77777777" w:rsidR="00754D34" w:rsidRPr="00754D34" w:rsidRDefault="00754D34" w:rsidP="00754D34">
      <w:pPr>
        <w:pStyle w:val="BodyText"/>
        <w:ind w:left="567"/>
        <w:rPr>
          <w:rFonts w:ascii="Courier New" w:hAnsi="Courier New" w:cs="Courier New"/>
          <w:b/>
        </w:rPr>
      </w:pPr>
      <w:r w:rsidRPr="00754D34">
        <w:rPr>
          <w:rFonts w:ascii="Courier New" w:hAnsi="Courier New" w:cs="Courier New"/>
          <w:b/>
        </w:rPr>
        <w:t>Input</w:t>
      </w:r>
    </w:p>
    <w:p w14:paraId="3EA55D8F" w14:textId="10028E41" w:rsidR="00754D34" w:rsidRPr="00754D34" w:rsidRDefault="00754D34" w:rsidP="00754D34">
      <w:pPr>
        <w:pStyle w:val="BodyText"/>
        <w:ind w:left="1134"/>
        <w:rPr>
          <w:rFonts w:ascii="Courier New" w:hAnsi="Courier New" w:cs="Courier New"/>
          <w:b/>
        </w:rPr>
      </w:pPr>
      <m:oMath>
        <m:r>
          <m:rPr>
            <m:sty m:val="bi"/>
          </m:rPr>
          <w:rPr>
            <w:rFonts w:ascii="Cambria Math" w:hAnsi="Cambria Math" w:cs="Courier New"/>
          </w:rPr>
          <m:t>C</m:t>
        </m:r>
      </m:oMath>
      <w:r w:rsidRPr="00754D34">
        <w:rPr>
          <w:rFonts w:ascii="Courier New" w:hAnsi="Courier New" w:cs="Courier New"/>
          <w:b/>
        </w:rPr>
        <w:t>:</w:t>
      </w:r>
      <w:r w:rsidRPr="00754D34">
        <w:rPr>
          <w:rFonts w:ascii="Courier New" w:hAnsi="Courier New" w:cs="Courier New"/>
          <w:b/>
        </w:rPr>
        <w:tab/>
        <w:t>number of CBs</w:t>
      </w:r>
    </w:p>
    <w:p w14:paraId="690312E2" w14:textId="2FE8971A" w:rsidR="00754D34" w:rsidRPr="00754D34" w:rsidRDefault="00754D34" w:rsidP="00754D34">
      <w:pPr>
        <w:pStyle w:val="BodyText"/>
        <w:ind w:left="1134"/>
        <w:rPr>
          <w:rFonts w:ascii="Courier New" w:hAnsi="Courier New" w:cs="Courier New"/>
          <w:b/>
        </w:rPr>
      </w:pPr>
      <m:oMath>
        <m:r>
          <m:rPr>
            <m:sty m:val="bi"/>
          </m:rPr>
          <w:rPr>
            <w:rFonts w:ascii="Cambria Math" w:hAnsi="Cambria Math" w:cs="Courier New"/>
          </w:rPr>
          <m:t>G</m:t>
        </m:r>
      </m:oMath>
      <w:r w:rsidRPr="00754D34">
        <w:rPr>
          <w:rFonts w:ascii="Courier New" w:hAnsi="Courier New" w:cs="Courier New"/>
          <w:b/>
        </w:rPr>
        <w:t>:</w:t>
      </w:r>
      <w:r w:rsidRPr="00754D34">
        <w:rPr>
          <w:rFonts w:ascii="Courier New" w:hAnsi="Courier New" w:cs="Courier New"/>
          <w:b/>
        </w:rPr>
        <w:tab/>
        <w:t>number of CBGs</w:t>
      </w:r>
    </w:p>
    <w:p w14:paraId="74022977" w14:textId="7EA6C59E" w:rsidR="00754D34" w:rsidRPr="00754D34" w:rsidRDefault="00754D34" w:rsidP="0082252F">
      <w:pPr>
        <w:pStyle w:val="BodyText"/>
        <w:ind w:left="567"/>
        <w:rPr>
          <w:rFonts w:ascii="Courier New" w:hAnsi="Courier New" w:cs="Courier New"/>
          <w:b/>
        </w:rPr>
      </w:pPr>
      <w:r w:rsidRPr="00754D34">
        <w:rPr>
          <w:rFonts w:ascii="Courier New" w:hAnsi="Courier New" w:cs="Courier New"/>
          <w:b/>
        </w:rPr>
        <w:t>Output</w:t>
      </w:r>
    </w:p>
    <w:p w14:paraId="11FDB02C" w14:textId="21BB71D7" w:rsidR="00754D34" w:rsidRPr="00754D34" w:rsidRDefault="00754D34" w:rsidP="0082252F">
      <w:pPr>
        <w:pStyle w:val="BodyText"/>
        <w:ind w:left="1134"/>
        <w:rPr>
          <w:rFonts w:ascii="Courier New" w:hAnsi="Courier New" w:cs="Courier New"/>
          <w:b/>
        </w:rPr>
      </w:pPr>
      <w:r w:rsidRPr="00754D34">
        <w:rPr>
          <w:rFonts w:ascii="Courier New" w:hAnsi="Courier New" w:cs="Courier New"/>
          <w:b/>
        </w:rPr>
        <w:t xml:space="preserve">Determine </w:t>
      </w:r>
      <m:oMath>
        <m:r>
          <m:rPr>
            <m:sty m:val="bi"/>
          </m:rPr>
          <w:rPr>
            <w:rFonts w:ascii="Cambria Math" w:hAnsi="Cambria Math" w:cs="Courier New"/>
          </w:rPr>
          <m:t>B=</m:t>
        </m:r>
        <m:d>
          <m:dPr>
            <m:begChr m:val="⌈"/>
            <m:endChr m:val="⌉"/>
            <m:ctrlPr>
              <w:rPr>
                <w:rFonts w:ascii="Cambria Math" w:hAnsi="Cambria Math" w:cs="Courier New"/>
                <w:b/>
                <w:i/>
              </w:rPr>
            </m:ctrlPr>
          </m:dPr>
          <m:e>
            <m:f>
              <m:fPr>
                <m:ctrlPr>
                  <w:rPr>
                    <w:rFonts w:ascii="Cambria Math" w:hAnsi="Cambria Math" w:cs="Courier New"/>
                    <w:b/>
                    <w:i/>
                  </w:rPr>
                </m:ctrlPr>
              </m:fPr>
              <m:num>
                <m:r>
                  <m:rPr>
                    <m:sty m:val="bi"/>
                  </m:rPr>
                  <w:rPr>
                    <w:rFonts w:ascii="Cambria Math" w:hAnsi="Cambria Math" w:cs="Courier New"/>
                  </w:rPr>
                  <m:t>C</m:t>
                </m:r>
              </m:num>
              <m:den>
                <m:r>
                  <m:rPr>
                    <m:sty m:val="bi"/>
                  </m:rPr>
                  <w:rPr>
                    <w:rFonts w:ascii="Cambria Math" w:hAnsi="Cambria Math" w:cs="Courier New"/>
                  </w:rPr>
                  <m:t>G</m:t>
                </m:r>
              </m:den>
            </m:f>
          </m:e>
        </m:d>
      </m:oMath>
    </w:p>
    <w:p w14:paraId="49A27C32" w14:textId="6B31C1CD" w:rsidR="00A20A26" w:rsidRPr="00A20A26" w:rsidRDefault="00A20A26" w:rsidP="00A20A26">
      <w:pPr>
        <w:pStyle w:val="BodyText"/>
        <w:ind w:left="1134"/>
        <w:rPr>
          <w:rFonts w:ascii="Courier New" w:hAnsi="Courier New" w:cs="Courier New"/>
          <w:b/>
        </w:rPr>
      </w:pPr>
      <w:r w:rsidRPr="00A20A26">
        <w:rPr>
          <w:rFonts w:ascii="Courier New" w:hAnsi="Courier New" w:cs="Courier New"/>
          <w:b/>
        </w:rPr>
        <w:t xml:space="preserve">The first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oMath>
      <w:r w:rsidRPr="00A20A26">
        <w:rPr>
          <w:rFonts w:ascii="Courier New" w:hAnsi="Courier New" w:cs="Courier New"/>
          <w:b/>
        </w:rPr>
        <w:t xml:space="preserve"> CBGs contain </w:t>
      </w:r>
      <m:oMath>
        <m:r>
          <m:rPr>
            <m:sty m:val="bi"/>
          </m:rPr>
          <w:rPr>
            <w:rFonts w:ascii="Cambria Math" w:hAnsi="Cambria Math" w:cs="Courier New"/>
          </w:rPr>
          <m:t>B</m:t>
        </m:r>
      </m:oMath>
      <w:r w:rsidRPr="00A20A26">
        <w:rPr>
          <w:rFonts w:ascii="Courier New" w:hAnsi="Courier New" w:cs="Courier New"/>
          <w:b/>
        </w:rPr>
        <w:t xml:space="preserve"> CBs </w:t>
      </w:r>
      <w:r w:rsidR="000526D5">
        <w:rPr>
          <w:rFonts w:ascii="Courier New" w:hAnsi="Courier New" w:cs="Courier New"/>
          <w:b/>
        </w:rPr>
        <w:t xml:space="preserve">each, </w:t>
      </w:r>
      <w:r w:rsidRPr="00A20A26">
        <w:rPr>
          <w:rFonts w:ascii="Courier New" w:hAnsi="Courier New" w:cs="Courier New"/>
          <w:b/>
        </w:rPr>
        <w:t xml:space="preserve">where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r>
          <m:rPr>
            <m:sty m:val="bi"/>
          </m:rPr>
          <w:rPr>
            <w:rFonts w:ascii="Cambria Math" w:hAnsi="Cambria Math" w:cs="Courier New"/>
          </w:rPr>
          <m:t>=</m:t>
        </m:r>
        <m:d>
          <m:dPr>
            <m:begChr m:val="⌊"/>
            <m:endChr m:val="⌋"/>
            <m:ctrlPr>
              <w:rPr>
                <w:rFonts w:ascii="Cambria Math" w:hAnsi="Cambria Math" w:cs="Courier New"/>
                <w:b/>
                <w:i/>
              </w:rPr>
            </m:ctrlPr>
          </m:dPr>
          <m:e>
            <m:f>
              <m:fPr>
                <m:ctrlPr>
                  <w:rPr>
                    <w:rFonts w:ascii="Cambria Math" w:hAnsi="Cambria Math" w:cs="Courier New"/>
                    <w:b/>
                    <w:i/>
                  </w:rPr>
                </m:ctrlPr>
              </m:fPr>
              <m:num>
                <m:r>
                  <m:rPr>
                    <m:sty m:val="bi"/>
                  </m:rPr>
                  <w:rPr>
                    <w:rFonts w:ascii="Cambria Math" w:hAnsi="Cambria Math" w:cs="Courier New"/>
                  </w:rPr>
                  <m:t>C</m:t>
                </m:r>
              </m:num>
              <m:den>
                <m:r>
                  <m:rPr>
                    <m:sty m:val="bi"/>
                  </m:rPr>
                  <w:rPr>
                    <w:rFonts w:ascii="Cambria Math" w:hAnsi="Cambria Math" w:cs="Courier New"/>
                  </w:rPr>
                  <m:t>B</m:t>
                </m:r>
              </m:den>
            </m:f>
          </m:e>
        </m:d>
      </m:oMath>
      <w:r w:rsidR="000526D5">
        <w:rPr>
          <w:rFonts w:ascii="Courier New" w:hAnsi="Courier New" w:cs="Courier New"/>
          <w:b/>
        </w:rPr>
        <w:t>.</w:t>
      </w:r>
    </w:p>
    <w:p w14:paraId="79835F6E" w14:textId="0129EC06" w:rsidR="00A20A26" w:rsidRPr="00A20A26" w:rsidRDefault="00A20A26" w:rsidP="00A20A26">
      <w:pPr>
        <w:pStyle w:val="BodyText"/>
        <w:ind w:left="1134"/>
        <w:rPr>
          <w:rFonts w:ascii="Courier New" w:hAnsi="Courier New" w:cs="Courier New"/>
          <w:b/>
        </w:rPr>
      </w:pPr>
      <w:r w:rsidRPr="00A20A26">
        <w:rPr>
          <w:rFonts w:ascii="Courier New" w:hAnsi="Courier New" w:cs="Courier New"/>
          <w:b/>
        </w:rPr>
        <w:t xml:space="preserve">The next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oMath>
      <w:r w:rsidRPr="00A20A26">
        <w:rPr>
          <w:rFonts w:ascii="Courier New" w:hAnsi="Courier New" w:cs="Courier New"/>
          <w:b/>
        </w:rPr>
        <w:t xml:space="preserve"> CBGs contain </w:t>
      </w:r>
      <m:oMath>
        <m:r>
          <m:rPr>
            <m:sty m:val="bi"/>
          </m:rPr>
          <w:rPr>
            <w:rFonts w:ascii="Cambria Math" w:hAnsi="Cambria Math" w:cs="Courier New"/>
          </w:rPr>
          <m:t>(B-1)</m:t>
        </m:r>
      </m:oMath>
      <w:r w:rsidRPr="00A20A26">
        <w:rPr>
          <w:rFonts w:ascii="Courier New" w:hAnsi="Courier New" w:cs="Courier New"/>
          <w:b/>
        </w:rPr>
        <w:t xml:space="preserve"> CBs </w:t>
      </w:r>
      <w:r w:rsidR="000526D5">
        <w:rPr>
          <w:rFonts w:ascii="Courier New" w:hAnsi="Courier New" w:cs="Courier New"/>
          <w:b/>
        </w:rPr>
        <w:t xml:space="preserve">each, </w:t>
      </w:r>
      <w:r w:rsidRPr="00A20A26">
        <w:rPr>
          <w:rFonts w:ascii="Courier New" w:hAnsi="Courier New" w:cs="Courier New"/>
          <w:b/>
        </w:rPr>
        <w:t xml:space="preserve">where </w:t>
      </w:r>
      <m:oMath>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r>
          <m:rPr>
            <m:sty m:val="bi"/>
          </m:rPr>
          <w:rPr>
            <w:rFonts w:ascii="Cambria Math" w:hAnsi="Cambria Math" w:cs="Courier New"/>
          </w:rPr>
          <m:t>=G-</m:t>
        </m:r>
        <m:sSup>
          <m:sSupPr>
            <m:ctrlPr>
              <w:rPr>
                <w:rFonts w:ascii="Cambria Math" w:hAnsi="Cambria Math" w:cs="Courier New"/>
                <w:b/>
                <w:i/>
              </w:rPr>
            </m:ctrlPr>
          </m:sSupPr>
          <m:e>
            <m:r>
              <m:rPr>
                <m:sty m:val="bi"/>
              </m:rPr>
              <w:rPr>
                <w:rFonts w:ascii="Cambria Math" w:hAnsi="Cambria Math" w:cs="Courier New"/>
              </w:rPr>
              <m:t>G</m:t>
            </m:r>
          </m:e>
          <m:sup>
            <m:r>
              <m:rPr>
                <m:sty m:val="bi"/>
              </m:rPr>
              <w:rPr>
                <w:rFonts w:ascii="Cambria Math" w:hAnsi="Cambria Math" w:cs="Courier New"/>
              </w:rPr>
              <m:t>+</m:t>
            </m:r>
          </m:sup>
        </m:sSup>
      </m:oMath>
      <w:r w:rsidR="000526D5">
        <w:rPr>
          <w:rFonts w:ascii="Courier New" w:hAnsi="Courier New" w:cs="Courier New"/>
          <w:b/>
        </w:rPr>
        <w:t>.</w:t>
      </w:r>
    </w:p>
    <w:p w14:paraId="38AE1877" w14:textId="10F78FDE" w:rsidR="0010118E" w:rsidRPr="00293CF0" w:rsidRDefault="0010118E" w:rsidP="00A20A26">
      <w:pPr>
        <w:pStyle w:val="BodyText"/>
        <w:spacing w:before="240" w:after="240"/>
        <w:rPr>
          <w:b/>
        </w:rPr>
      </w:pPr>
      <w:r w:rsidRPr="00293CF0">
        <w:rPr>
          <w:b/>
        </w:rPr>
        <w:t xml:space="preserve">Proposal 2 The CB groups </w:t>
      </w:r>
      <w:r>
        <w:rPr>
          <w:b/>
        </w:rPr>
        <w:t xml:space="preserve">remain </w:t>
      </w:r>
      <w:r w:rsidRPr="00293CF0">
        <w:rPr>
          <w:b/>
        </w:rPr>
        <w:t xml:space="preserve">fixed </w:t>
      </w:r>
      <w:r>
        <w:rPr>
          <w:b/>
        </w:rPr>
        <w:t>after formation</w:t>
      </w:r>
      <w:r w:rsidR="00754D34">
        <w:rPr>
          <w:b/>
        </w:rPr>
        <w:t xml:space="preserve"> (including retransmissions)</w:t>
      </w:r>
      <w:r w:rsidRPr="00293CF0">
        <w:rPr>
          <w:b/>
        </w:rPr>
        <w:t>.</w:t>
      </w:r>
    </w:p>
    <w:p w14:paraId="58E032E2" w14:textId="3196501F" w:rsidR="0010118E" w:rsidRDefault="0010118E" w:rsidP="00DF4FC5">
      <w:pPr>
        <w:pStyle w:val="BodyText"/>
        <w:spacing w:after="240"/>
        <w:rPr>
          <w:b/>
        </w:rPr>
      </w:pPr>
      <w:r w:rsidRPr="00CE5994">
        <w:rPr>
          <w:b/>
        </w:rPr>
        <w:t xml:space="preserve">Proposal 3 There should be no fixed rules/tables to determine the </w:t>
      </w:r>
      <w:r w:rsidRPr="00CE5994">
        <w:rPr>
          <w:rFonts w:eastAsia="MS Mincho"/>
          <w:b/>
          <w:iCs/>
          <w:lang w:val="en-US"/>
        </w:rPr>
        <w:t xml:space="preserve">number of CBGs and/or the number CBs per CBG according to TBS. </w:t>
      </w:r>
      <w:r w:rsidRPr="00CE5994">
        <w:rPr>
          <w:b/>
        </w:rPr>
        <w:t>It should be up to gNB to decide the optimal code block group size to operate.</w:t>
      </w:r>
    </w:p>
    <w:p w14:paraId="4052B51D" w14:textId="77777777" w:rsidR="003A27A3" w:rsidRPr="003A27A3" w:rsidRDefault="003A27A3" w:rsidP="00DF4FC5">
      <w:pPr>
        <w:pStyle w:val="BodyText"/>
        <w:spacing w:after="240"/>
        <w:rPr>
          <w:b/>
        </w:rPr>
      </w:pPr>
      <w:r w:rsidRPr="003A27A3">
        <w:rPr>
          <w:b/>
        </w:rPr>
        <w:t>Proposal 4 CBG level CRC is not introduced for NR.</w:t>
      </w:r>
    </w:p>
    <w:p w14:paraId="57B73A36" w14:textId="77777777" w:rsidR="00F507D1" w:rsidRPr="007B78FE" w:rsidRDefault="00F507D1" w:rsidP="00CE0424">
      <w:pPr>
        <w:pStyle w:val="Heading1"/>
        <w:rPr>
          <w:lang w:val="en-US"/>
        </w:rPr>
      </w:pPr>
      <w:bookmarkStart w:id="3" w:name="_In-sequence_SDU_delivery"/>
      <w:bookmarkEnd w:id="3"/>
      <w:r w:rsidRPr="007B78FE">
        <w:rPr>
          <w:lang w:val="en-US"/>
        </w:rPr>
        <w:t>References</w:t>
      </w:r>
    </w:p>
    <w:p w14:paraId="3618435D" w14:textId="2BC3785C" w:rsidR="00221CBF" w:rsidRDefault="00221CBF" w:rsidP="00221CBF">
      <w:pPr>
        <w:pStyle w:val="Reference"/>
        <w:rPr>
          <w:lang w:val="en-US"/>
        </w:rPr>
      </w:pPr>
      <w:bookmarkStart w:id="4" w:name="_Ref473934775"/>
      <w:bookmarkStart w:id="5" w:name="_Ref484605479"/>
      <w:bookmarkStart w:id="6" w:name="_Ref174151459"/>
      <w:bookmarkStart w:id="7" w:name="_Ref189809556"/>
      <w:r w:rsidRPr="007B78FE">
        <w:rPr>
          <w:lang w:val="en-US"/>
        </w:rPr>
        <w:t>Chairman’s Notes, 3GPP TSG RAN WG1 Meeting#88</w:t>
      </w:r>
      <w:bookmarkEnd w:id="4"/>
      <w:r w:rsidR="00797B44">
        <w:rPr>
          <w:lang w:val="en-US"/>
        </w:rPr>
        <w:t>bis</w:t>
      </w:r>
      <w:bookmarkEnd w:id="5"/>
      <w:r w:rsidRPr="007B78FE">
        <w:rPr>
          <w:lang w:val="en-US"/>
        </w:rPr>
        <w:t xml:space="preserve"> </w:t>
      </w:r>
      <w:bookmarkEnd w:id="6"/>
      <w:bookmarkEnd w:id="7"/>
    </w:p>
    <w:p w14:paraId="481A981B" w14:textId="082A6007" w:rsidR="006653D1" w:rsidRDefault="006653D1" w:rsidP="006653D1">
      <w:pPr>
        <w:pStyle w:val="Reference"/>
        <w:rPr>
          <w:lang w:val="en-US"/>
        </w:rPr>
      </w:pPr>
      <w:bookmarkStart w:id="8" w:name="_Ref484605489"/>
      <w:bookmarkStart w:id="9" w:name="_Ref481764671"/>
      <w:r w:rsidRPr="007B78FE">
        <w:rPr>
          <w:lang w:val="en-US"/>
        </w:rPr>
        <w:t>Chairman’s Notes, 3GPP TSG RAN WG1 Meeting#8</w:t>
      </w:r>
      <w:r>
        <w:rPr>
          <w:lang w:val="en-US"/>
        </w:rPr>
        <w:t>9</w:t>
      </w:r>
      <w:bookmarkEnd w:id="8"/>
      <w:r w:rsidRPr="007B78FE">
        <w:rPr>
          <w:lang w:val="en-US"/>
        </w:rPr>
        <w:t xml:space="preserve"> </w:t>
      </w:r>
    </w:p>
    <w:p w14:paraId="04ED1DF8" w14:textId="4639C3CE" w:rsidR="00C23998" w:rsidRDefault="009D3D3D" w:rsidP="009D3D3D">
      <w:pPr>
        <w:pStyle w:val="Reference"/>
        <w:rPr>
          <w:lang w:val="en-US"/>
        </w:rPr>
      </w:pPr>
      <w:bookmarkStart w:id="10" w:name="_Ref484607387"/>
      <w:r w:rsidRPr="009D3D3D">
        <w:rPr>
          <w:lang w:val="en-US"/>
        </w:rPr>
        <w:t>R1-1711507</w:t>
      </w:r>
      <w:r>
        <w:rPr>
          <w:lang w:val="en-US"/>
        </w:rPr>
        <w:t xml:space="preserve"> </w:t>
      </w:r>
      <w:r w:rsidR="00DE1BBA">
        <w:rPr>
          <w:lang w:val="en-US"/>
        </w:rPr>
        <w:t>On Retransmission Decoder Throughput Issues and CBG-based</w:t>
      </w:r>
      <w:r w:rsidR="002E30BA">
        <w:rPr>
          <w:lang w:val="en-US"/>
        </w:rPr>
        <w:t xml:space="preserve"> Retransmission Control</w:t>
      </w:r>
      <w:r w:rsidR="00C23998">
        <w:rPr>
          <w:lang w:val="en-US"/>
        </w:rPr>
        <w:t>, Ericsson</w:t>
      </w:r>
      <w:bookmarkStart w:id="11" w:name="_GoBack"/>
      <w:bookmarkEnd w:id="9"/>
      <w:bookmarkEnd w:id="10"/>
      <w:bookmarkEnd w:id="11"/>
    </w:p>
    <w:p w14:paraId="5CF4F5E6" w14:textId="5C80C9F3" w:rsidR="00C23998" w:rsidRDefault="009D3D3D" w:rsidP="009D3D3D">
      <w:pPr>
        <w:pStyle w:val="Reference"/>
        <w:rPr>
          <w:lang w:val="en-US"/>
        </w:rPr>
      </w:pPr>
      <w:bookmarkStart w:id="12" w:name="_Ref481764673"/>
      <w:r w:rsidRPr="009D3D3D">
        <w:rPr>
          <w:lang w:val="en-US"/>
        </w:rPr>
        <w:t>R1-1711508</w:t>
      </w:r>
      <w:r>
        <w:rPr>
          <w:lang w:val="en-US"/>
        </w:rPr>
        <w:t xml:space="preserve"> </w:t>
      </w:r>
      <w:r w:rsidR="00DE1BBA">
        <w:rPr>
          <w:lang w:val="en-US"/>
        </w:rPr>
        <w:t>On Design of CBG HARQ-ACK Feedback Sc</w:t>
      </w:r>
      <w:r w:rsidR="00C23998" w:rsidRPr="00C23998">
        <w:rPr>
          <w:lang w:val="en-US"/>
        </w:rPr>
        <w:t>hemes</w:t>
      </w:r>
      <w:r w:rsidR="00C23998">
        <w:rPr>
          <w:lang w:val="en-US"/>
        </w:rPr>
        <w:t>, Ericsson</w:t>
      </w:r>
      <w:bookmarkEnd w:id="12"/>
    </w:p>
    <w:p w14:paraId="17F0ACAC" w14:textId="7282A473" w:rsidR="000A1280" w:rsidRPr="00814634" w:rsidRDefault="000A1280" w:rsidP="00570102">
      <w:pPr>
        <w:pStyle w:val="Reference"/>
        <w:rPr>
          <w:lang w:val="en-US"/>
        </w:rPr>
      </w:pPr>
      <w:bookmarkStart w:id="13" w:name="_Ref477978143"/>
      <w:r w:rsidRPr="00814634">
        <w:rPr>
          <w:lang w:val="en-US"/>
        </w:rPr>
        <w:t>R1-707063 CRC Attachment for Code Block Group, Ericsson</w:t>
      </w:r>
      <w:bookmarkEnd w:id="13"/>
    </w:p>
    <w:sectPr w:rsidR="000A1280" w:rsidRPr="0081463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FE8A25" w14:textId="77777777" w:rsidR="0047688E" w:rsidRDefault="0047688E">
      <w:r>
        <w:separator/>
      </w:r>
    </w:p>
  </w:endnote>
  <w:endnote w:type="continuationSeparator" w:id="0">
    <w:p w14:paraId="735588C4" w14:textId="77777777" w:rsidR="0047688E" w:rsidRDefault="0047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B90B9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D3D3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D3D3D">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08CC7" w14:textId="77777777" w:rsidR="0047688E" w:rsidRDefault="0047688E">
      <w:r>
        <w:separator/>
      </w:r>
    </w:p>
  </w:footnote>
  <w:footnote w:type="continuationSeparator" w:id="0">
    <w:p w14:paraId="0CC7AE47" w14:textId="77777777" w:rsidR="0047688E" w:rsidRDefault="00476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29"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31"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7"/>
  </w:num>
  <w:num w:numId="4">
    <w:abstractNumId w:val="18"/>
  </w:num>
  <w:num w:numId="5">
    <w:abstractNumId w:val="15"/>
  </w:num>
  <w:num w:numId="6">
    <w:abstractNumId w:val="21"/>
  </w:num>
  <w:num w:numId="7">
    <w:abstractNumId w:val="24"/>
  </w:num>
  <w:num w:numId="8">
    <w:abstractNumId w:val="16"/>
  </w:num>
  <w:num w:numId="9">
    <w:abstractNumId w:val="14"/>
  </w:num>
  <w:num w:numId="10">
    <w:abstractNumId w:val="3"/>
  </w:num>
  <w:num w:numId="11">
    <w:abstractNumId w:val="2"/>
  </w:num>
  <w:num w:numId="12">
    <w:abstractNumId w:val="1"/>
  </w:num>
  <w:num w:numId="13">
    <w:abstractNumId w:val="23"/>
  </w:num>
  <w:num w:numId="14">
    <w:abstractNumId w:val="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27"/>
  </w:num>
  <w:num w:numId="18">
    <w:abstractNumId w:val="11"/>
  </w:num>
  <w:num w:numId="19">
    <w:abstractNumId w:val="9"/>
  </w:num>
  <w:num w:numId="20">
    <w:abstractNumId w:val="13"/>
  </w:num>
  <w:num w:numId="21">
    <w:abstractNumId w:val="31"/>
  </w:num>
  <w:num w:numId="22">
    <w:abstractNumId w:val="10"/>
  </w:num>
  <w:num w:numId="23">
    <w:abstractNumId w:val="6"/>
  </w:num>
  <w:num w:numId="24">
    <w:abstractNumId w:val="19"/>
  </w:num>
  <w:num w:numId="25">
    <w:abstractNumId w:val="25"/>
  </w:num>
  <w:num w:numId="26">
    <w:abstractNumId w:val="26"/>
  </w:num>
  <w:num w:numId="27">
    <w:abstractNumId w:val="20"/>
  </w:num>
  <w:num w:numId="28">
    <w:abstractNumId w:val="12"/>
  </w:num>
  <w:num w:numId="29">
    <w:abstractNumId w:val="29"/>
  </w:num>
  <w:num w:numId="30">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3A3"/>
    <w:rsid w:val="00034C15"/>
    <w:rsid w:val="00036BA1"/>
    <w:rsid w:val="000422E2"/>
    <w:rsid w:val="00042C07"/>
    <w:rsid w:val="00042F22"/>
    <w:rsid w:val="000444EF"/>
    <w:rsid w:val="000514FC"/>
    <w:rsid w:val="000526D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118E"/>
    <w:rsid w:val="001062FB"/>
    <w:rsid w:val="001063E6"/>
    <w:rsid w:val="00113CF4"/>
    <w:rsid w:val="001153EA"/>
    <w:rsid w:val="001154BD"/>
    <w:rsid w:val="00115643"/>
    <w:rsid w:val="00115C22"/>
    <w:rsid w:val="00116765"/>
    <w:rsid w:val="001219F5"/>
    <w:rsid w:val="00121A20"/>
    <w:rsid w:val="00122D0D"/>
    <w:rsid w:val="0012377F"/>
    <w:rsid w:val="00124314"/>
    <w:rsid w:val="00126B4A"/>
    <w:rsid w:val="00132FD0"/>
    <w:rsid w:val="001344C0"/>
    <w:rsid w:val="001346FA"/>
    <w:rsid w:val="00135252"/>
    <w:rsid w:val="00137AB5"/>
    <w:rsid w:val="00137F0B"/>
    <w:rsid w:val="00140596"/>
    <w:rsid w:val="00151E23"/>
    <w:rsid w:val="001521A7"/>
    <w:rsid w:val="001526E0"/>
    <w:rsid w:val="001551B5"/>
    <w:rsid w:val="00163A2A"/>
    <w:rsid w:val="001659C1"/>
    <w:rsid w:val="00172876"/>
    <w:rsid w:val="00173A8E"/>
    <w:rsid w:val="00177795"/>
    <w:rsid w:val="0018143F"/>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F88"/>
    <w:rsid w:val="00200490"/>
    <w:rsid w:val="00201F3A"/>
    <w:rsid w:val="00203F96"/>
    <w:rsid w:val="002069B2"/>
    <w:rsid w:val="00207FA3"/>
    <w:rsid w:val="00214DA8"/>
    <w:rsid w:val="00215423"/>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1BB"/>
    <w:rsid w:val="00286ACD"/>
    <w:rsid w:val="00287838"/>
    <w:rsid w:val="002907B5"/>
    <w:rsid w:val="00292EB7"/>
    <w:rsid w:val="00293CF0"/>
    <w:rsid w:val="00296227"/>
    <w:rsid w:val="00296F44"/>
    <w:rsid w:val="002972F4"/>
    <w:rsid w:val="0029777D"/>
    <w:rsid w:val="002A055E"/>
    <w:rsid w:val="002A1D4E"/>
    <w:rsid w:val="002A2869"/>
    <w:rsid w:val="002B2156"/>
    <w:rsid w:val="002B24D6"/>
    <w:rsid w:val="002B335C"/>
    <w:rsid w:val="002C41E6"/>
    <w:rsid w:val="002C5BA4"/>
    <w:rsid w:val="002D071A"/>
    <w:rsid w:val="002D34B2"/>
    <w:rsid w:val="002D7637"/>
    <w:rsid w:val="002E17F2"/>
    <w:rsid w:val="002E2B4A"/>
    <w:rsid w:val="002E30BA"/>
    <w:rsid w:val="002E7CAE"/>
    <w:rsid w:val="002F2771"/>
    <w:rsid w:val="002F37A9"/>
    <w:rsid w:val="00301CE6"/>
    <w:rsid w:val="0030256B"/>
    <w:rsid w:val="0030501F"/>
    <w:rsid w:val="003065D1"/>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2421"/>
    <w:rsid w:val="00357380"/>
    <w:rsid w:val="003602D9"/>
    <w:rsid w:val="003604CE"/>
    <w:rsid w:val="00360828"/>
    <w:rsid w:val="00370E47"/>
    <w:rsid w:val="003742AC"/>
    <w:rsid w:val="00377CE1"/>
    <w:rsid w:val="00385BF0"/>
    <w:rsid w:val="003939FF"/>
    <w:rsid w:val="003A2223"/>
    <w:rsid w:val="003A27A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99E"/>
    <w:rsid w:val="00431AF0"/>
    <w:rsid w:val="0043372F"/>
    <w:rsid w:val="00437447"/>
    <w:rsid w:val="00441A92"/>
    <w:rsid w:val="00444F56"/>
    <w:rsid w:val="00446488"/>
    <w:rsid w:val="004517AA"/>
    <w:rsid w:val="00452CAC"/>
    <w:rsid w:val="00453D58"/>
    <w:rsid w:val="00457565"/>
    <w:rsid w:val="00457B71"/>
    <w:rsid w:val="004630BF"/>
    <w:rsid w:val="004646A6"/>
    <w:rsid w:val="004669E2"/>
    <w:rsid w:val="00470C31"/>
    <w:rsid w:val="004734D0"/>
    <w:rsid w:val="0047556B"/>
    <w:rsid w:val="0047688E"/>
    <w:rsid w:val="00477768"/>
    <w:rsid w:val="00492BC5"/>
    <w:rsid w:val="004964F1"/>
    <w:rsid w:val="004A16BC"/>
    <w:rsid w:val="004A2B94"/>
    <w:rsid w:val="004B7C0C"/>
    <w:rsid w:val="004C3898"/>
    <w:rsid w:val="004C6405"/>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2D41"/>
    <w:rsid w:val="00534B59"/>
    <w:rsid w:val="00536759"/>
    <w:rsid w:val="005376FC"/>
    <w:rsid w:val="00537C62"/>
    <w:rsid w:val="00546970"/>
    <w:rsid w:val="00547DF0"/>
    <w:rsid w:val="00547F4D"/>
    <w:rsid w:val="00550419"/>
    <w:rsid w:val="00554E19"/>
    <w:rsid w:val="0056121F"/>
    <w:rsid w:val="005720AA"/>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3C36"/>
    <w:rsid w:val="005E5B81"/>
    <w:rsid w:val="005F2CB1"/>
    <w:rsid w:val="005F3025"/>
    <w:rsid w:val="005F618C"/>
    <w:rsid w:val="005F70BD"/>
    <w:rsid w:val="0060283C"/>
    <w:rsid w:val="0060397D"/>
    <w:rsid w:val="00604F14"/>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41F2"/>
    <w:rsid w:val="00674CC3"/>
    <w:rsid w:val="00675C72"/>
    <w:rsid w:val="006771F9"/>
    <w:rsid w:val="006776D7"/>
    <w:rsid w:val="00681003"/>
    <w:rsid w:val="006817C9"/>
    <w:rsid w:val="00683ECE"/>
    <w:rsid w:val="0068756A"/>
    <w:rsid w:val="00695FC2"/>
    <w:rsid w:val="00696949"/>
    <w:rsid w:val="00697052"/>
    <w:rsid w:val="006A46FB"/>
    <w:rsid w:val="006A5E28"/>
    <w:rsid w:val="006A697B"/>
    <w:rsid w:val="006A7AFF"/>
    <w:rsid w:val="006B1816"/>
    <w:rsid w:val="006B2099"/>
    <w:rsid w:val="006B50CF"/>
    <w:rsid w:val="006B5B0F"/>
    <w:rsid w:val="006C03B8"/>
    <w:rsid w:val="006C1838"/>
    <w:rsid w:val="006C5EC9"/>
    <w:rsid w:val="006C6059"/>
    <w:rsid w:val="006C716E"/>
    <w:rsid w:val="006C7522"/>
    <w:rsid w:val="006D33EE"/>
    <w:rsid w:val="006D5ECD"/>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0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26DB"/>
    <w:rsid w:val="007E4610"/>
    <w:rsid w:val="007E4715"/>
    <w:rsid w:val="007E505B"/>
    <w:rsid w:val="007E7091"/>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6A3A"/>
    <w:rsid w:val="009901CF"/>
    <w:rsid w:val="00990630"/>
    <w:rsid w:val="00991761"/>
    <w:rsid w:val="00994DCA"/>
    <w:rsid w:val="009960EC"/>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D3D3D"/>
    <w:rsid w:val="009D4FF0"/>
    <w:rsid w:val="009D703C"/>
    <w:rsid w:val="009D718F"/>
    <w:rsid w:val="009E068F"/>
    <w:rsid w:val="009E14E0"/>
    <w:rsid w:val="009E24FC"/>
    <w:rsid w:val="009E35DB"/>
    <w:rsid w:val="009E47A3"/>
    <w:rsid w:val="009E60EC"/>
    <w:rsid w:val="009F08F3"/>
    <w:rsid w:val="009F344F"/>
    <w:rsid w:val="009F5F57"/>
    <w:rsid w:val="00A048A8"/>
    <w:rsid w:val="00A04F49"/>
    <w:rsid w:val="00A13E54"/>
    <w:rsid w:val="00A17F63"/>
    <w:rsid w:val="00A20554"/>
    <w:rsid w:val="00A20A26"/>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2E6"/>
    <w:rsid w:val="00A77EC4"/>
    <w:rsid w:val="00A86BE9"/>
    <w:rsid w:val="00A92879"/>
    <w:rsid w:val="00A9442A"/>
    <w:rsid w:val="00AA016F"/>
    <w:rsid w:val="00AA1ED6"/>
    <w:rsid w:val="00AA51D6"/>
    <w:rsid w:val="00AB0BC8"/>
    <w:rsid w:val="00AB11CA"/>
    <w:rsid w:val="00AB14D9"/>
    <w:rsid w:val="00AB2203"/>
    <w:rsid w:val="00AB4AB8"/>
    <w:rsid w:val="00AB655E"/>
    <w:rsid w:val="00AC007F"/>
    <w:rsid w:val="00AC0B70"/>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2BA1"/>
    <w:rsid w:val="00B6188F"/>
    <w:rsid w:val="00B664C7"/>
    <w:rsid w:val="00B7198C"/>
    <w:rsid w:val="00B739F6"/>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7181"/>
    <w:rsid w:val="00BC0FDC"/>
    <w:rsid w:val="00BC3053"/>
    <w:rsid w:val="00BC4D2E"/>
    <w:rsid w:val="00BD0AF6"/>
    <w:rsid w:val="00BD1814"/>
    <w:rsid w:val="00BD2878"/>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B1F63"/>
    <w:rsid w:val="00CB7170"/>
    <w:rsid w:val="00CB7D95"/>
    <w:rsid w:val="00CC040E"/>
    <w:rsid w:val="00CC111F"/>
    <w:rsid w:val="00CC2011"/>
    <w:rsid w:val="00CC3EA0"/>
    <w:rsid w:val="00CC7B45"/>
    <w:rsid w:val="00CD1188"/>
    <w:rsid w:val="00CD2ED1"/>
    <w:rsid w:val="00CD337B"/>
    <w:rsid w:val="00CE0424"/>
    <w:rsid w:val="00CE36E3"/>
    <w:rsid w:val="00CE5994"/>
    <w:rsid w:val="00CE7561"/>
    <w:rsid w:val="00CF1354"/>
    <w:rsid w:val="00CF3B1F"/>
    <w:rsid w:val="00CF3BF6"/>
    <w:rsid w:val="00CF625B"/>
    <w:rsid w:val="00CF687E"/>
    <w:rsid w:val="00D0349B"/>
    <w:rsid w:val="00D10249"/>
    <w:rsid w:val="00D115C3"/>
    <w:rsid w:val="00D1189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0D28"/>
    <w:rsid w:val="00D823C6"/>
    <w:rsid w:val="00D86CA3"/>
    <w:rsid w:val="00D871CE"/>
    <w:rsid w:val="00D9196D"/>
    <w:rsid w:val="00D92982"/>
    <w:rsid w:val="00DA305E"/>
    <w:rsid w:val="00DA5417"/>
    <w:rsid w:val="00DA56E8"/>
    <w:rsid w:val="00DB0A9F"/>
    <w:rsid w:val="00DB377D"/>
    <w:rsid w:val="00DC2D36"/>
    <w:rsid w:val="00DC53EF"/>
    <w:rsid w:val="00DC72DB"/>
    <w:rsid w:val="00DE1BBA"/>
    <w:rsid w:val="00DE5608"/>
    <w:rsid w:val="00DE58D0"/>
    <w:rsid w:val="00DE654F"/>
    <w:rsid w:val="00DF0B6E"/>
    <w:rsid w:val="00DF15E0"/>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60F2"/>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48C7"/>
    <w:rsid w:val="00F607C5"/>
    <w:rsid w:val="00F60DEA"/>
    <w:rsid w:val="00F6302A"/>
    <w:rsid w:val="00F64C2B"/>
    <w:rsid w:val="00F651BE"/>
    <w:rsid w:val="00F65221"/>
    <w:rsid w:val="00F67F53"/>
    <w:rsid w:val="00F703BE"/>
    <w:rsid w:val="00F71F69"/>
    <w:rsid w:val="00F72B72"/>
    <w:rsid w:val="00F73B8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00E"/>
    <w:rsid w:val="00FB4C80"/>
    <w:rsid w:val="00FB6A6A"/>
    <w:rsid w:val="00FB7575"/>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5NUHHDQN7SK2-1-115929</_dlc_DocId>
    <_dlc_DocIdUrl xmlns="08b2df90-05d3-4030-90d4-c9feeb4a1cd9">
      <Url>https://ericoll.internal.ericsson.com/sites/STAR/_layouts/DocIdRedir.aspx?ID=5NUHHDQN7SK2-1-115929</Url>
      <Description>5NUHHDQN7SK2-1-115929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6.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7.xml><?xml version="1.0" encoding="utf-8"?>
<ds:datastoreItem xmlns:ds="http://schemas.openxmlformats.org/officeDocument/2006/customXml" ds:itemID="{EE37B1E0-1FA8-41BB-A215-F05CCDD3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431</TotalTime>
  <Pages>1</Pages>
  <Words>1521</Words>
  <Characters>8062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9564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114</cp:revision>
  <cp:lastPrinted>2008-01-31T16:09:00Z</cp:lastPrinted>
  <dcterms:created xsi:type="dcterms:W3CDTF">2017-02-07T17:47:00Z</dcterms:created>
  <dcterms:modified xsi:type="dcterms:W3CDTF">2017-06-16T15:58:00Z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d6b2cf42-ddaf-4999-8da3-340edc394ebd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